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762866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04.02.2025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  <w:proofErr w:type="gramEnd"/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762866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9B3E5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2024-2030</w:t>
      </w:r>
      <w:r w:rsidR="000B666C">
        <w:rPr>
          <w:b w:val="0"/>
          <w:color w:val="auto"/>
          <w:sz w:val="24"/>
        </w:rPr>
        <w:t xml:space="preserve"> годы </w:t>
      </w:r>
      <w:r w:rsidR="00483D22">
        <w:rPr>
          <w:b w:val="0"/>
          <w:color w:val="auto"/>
          <w:sz w:val="24"/>
        </w:rPr>
        <w:t>за 202</w:t>
      </w:r>
      <w:r>
        <w:rPr>
          <w:b w:val="0"/>
          <w:color w:val="auto"/>
          <w:sz w:val="24"/>
        </w:rPr>
        <w:t>4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FF2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FF237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</w:t>
      </w:r>
      <w:r w:rsidRPr="00FF2372">
        <w:rPr>
          <w:rFonts w:ascii="Times New Roman" w:hAnsi="Times New Roman" w:cs="Times New Roman"/>
          <w:sz w:val="28"/>
          <w:szCs w:val="28"/>
        </w:rPr>
        <w:t xml:space="preserve"> «</w:t>
      </w:r>
      <w:r w:rsidR="00FF2372" w:rsidRPr="00FF237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FF2372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9B3E55">
        <w:rPr>
          <w:rFonts w:ascii="Times New Roman" w:hAnsi="Times New Roman" w:cs="Times New Roman"/>
          <w:sz w:val="28"/>
          <w:szCs w:val="28"/>
        </w:rPr>
        <w:t>рской области» на 2024-2030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2890">
        <w:rPr>
          <w:rFonts w:ascii="Times New Roman" w:hAnsi="Times New Roman" w:cs="Times New Roman"/>
          <w:sz w:val="28"/>
          <w:szCs w:val="28"/>
        </w:rPr>
        <w:t xml:space="preserve"> за 202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0C49C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9B3E55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666C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0B666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762866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762866" w:rsidRPr="00762866">
        <w:rPr>
          <w:rFonts w:ascii="Times New Roman" w:hAnsi="Times New Roman" w:cs="Times New Roman"/>
          <w:sz w:val="22"/>
          <w:szCs w:val="22"/>
        </w:rPr>
        <w:t xml:space="preserve">04.02.2025    </w:t>
      </w:r>
      <w:proofErr w:type="gramStart"/>
      <w:r w:rsidR="00762866" w:rsidRPr="00762866">
        <w:rPr>
          <w:rFonts w:ascii="Times New Roman" w:hAnsi="Times New Roman" w:cs="Times New Roman"/>
          <w:sz w:val="22"/>
          <w:szCs w:val="22"/>
        </w:rPr>
        <w:t>№  65</w:t>
      </w:r>
      <w:proofErr w:type="gramEnd"/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</w:t>
      </w:r>
      <w:r w:rsidR="009B3E55">
        <w:rPr>
          <w:rFonts w:ascii="Times New Roman" w:hAnsi="Times New Roman" w:cs="Times New Roman"/>
          <w:sz w:val="28"/>
          <w:szCs w:val="28"/>
        </w:rPr>
        <w:t>ой области» на 2024-2030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682890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</w:t>
      </w:r>
      <w:r w:rsidR="00483D22">
        <w:rPr>
          <w:rFonts w:ascii="Times New Roman" w:hAnsi="Times New Roman" w:cs="Times New Roman"/>
          <w:sz w:val="28"/>
          <w:szCs w:val="28"/>
        </w:rPr>
        <w:t>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9B3E55">
        <w:rPr>
          <w:rFonts w:ascii="Times New Roman" w:hAnsi="Times New Roman" w:cs="Times New Roman"/>
          <w:sz w:val="28"/>
          <w:szCs w:val="28"/>
        </w:rPr>
        <w:t>30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</w:t>
      </w:r>
      <w:r w:rsidR="000F33EF">
        <w:rPr>
          <w:rFonts w:ascii="Times New Roman" w:hAnsi="Times New Roman" w:cs="Times New Roman"/>
          <w:sz w:val="28"/>
          <w:szCs w:val="28"/>
        </w:rPr>
        <w:t xml:space="preserve">от 06.10.2003 № 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9B3E55">
        <w:rPr>
          <w:rFonts w:ascii="Times New Roman" w:hAnsi="Times New Roman" w:cs="Times New Roman"/>
          <w:sz w:val="28"/>
          <w:szCs w:val="28"/>
        </w:rPr>
        <w:t>мероприятия по обеспечению жильем молодых семей на территории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E55">
        <w:rPr>
          <w:rFonts w:ascii="Times New Roman" w:hAnsi="Times New Roman" w:cs="Times New Roman"/>
          <w:sz w:val="28"/>
          <w:szCs w:val="28"/>
        </w:rPr>
        <w:t>государственной п</w:t>
      </w:r>
      <w:r>
        <w:rPr>
          <w:rFonts w:ascii="Times New Roman" w:hAnsi="Times New Roman" w:cs="Times New Roman"/>
          <w:sz w:val="28"/>
          <w:szCs w:val="28"/>
        </w:rPr>
        <w:t>рограммы Самарской области «Развитие жилищного строительства в Самарской области»</w:t>
      </w:r>
      <w:r w:rsidR="009B3E55">
        <w:rPr>
          <w:rFonts w:ascii="Times New Roman" w:hAnsi="Times New Roman" w:cs="Times New Roman"/>
          <w:sz w:val="28"/>
          <w:szCs w:val="28"/>
        </w:rPr>
        <w:t xml:space="preserve"> </w:t>
      </w:r>
      <w:r w:rsidR="009B3E55" w:rsidRPr="009B3E55">
        <w:rPr>
          <w:rFonts w:ascii="Times New Roman" w:hAnsi="Times New Roman" w:cs="Times New Roman"/>
          <w:sz w:val="28"/>
          <w:szCs w:val="28"/>
        </w:rPr>
        <w:t>и установлении отдельных расходных</w:t>
      </w:r>
      <w:r w:rsidR="009B3E55">
        <w:rPr>
          <w:rFonts w:ascii="Times New Roman" w:hAnsi="Times New Roman" w:cs="Times New Roman"/>
          <w:sz w:val="28"/>
          <w:szCs w:val="28"/>
        </w:rPr>
        <w:t xml:space="preserve"> обязательств Самарской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33EF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Самарской области №684 от 27.11.2013 г.,</w:t>
      </w:r>
      <w:r>
        <w:rPr>
          <w:rFonts w:ascii="Times New Roman" w:hAnsi="Times New Roman" w:cs="Times New Roman"/>
          <w:sz w:val="28"/>
          <w:szCs w:val="28"/>
        </w:rPr>
        <w:t xml:space="preserve"> Уставом района, 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F2372">
        <w:rPr>
          <w:rFonts w:ascii="Times New Roman" w:hAnsi="Times New Roman" w:cs="Times New Roman"/>
          <w:sz w:val="28"/>
          <w:szCs w:val="28"/>
        </w:rPr>
        <w:t>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483D22">
        <w:rPr>
          <w:rFonts w:ascii="Times New Roman" w:hAnsi="Times New Roman" w:cs="Times New Roman"/>
          <w:sz w:val="28"/>
          <w:szCs w:val="28"/>
        </w:rPr>
        <w:t xml:space="preserve"> (Приложение 1). За 202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682890">
        <w:rPr>
          <w:rFonts w:ascii="Times New Roman" w:hAnsi="Times New Roman" w:cs="Times New Roman"/>
          <w:sz w:val="28"/>
          <w:szCs w:val="28"/>
        </w:rPr>
        <w:t>1</w:t>
      </w:r>
      <w:r w:rsidR="00387F6D">
        <w:rPr>
          <w:rFonts w:ascii="Times New Roman" w:hAnsi="Times New Roman" w:cs="Times New Roman"/>
          <w:sz w:val="28"/>
          <w:szCs w:val="28"/>
        </w:rPr>
        <w:t xml:space="preserve">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0C49CB" w:rsidRDefault="007F29DF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</w:t>
      </w:r>
      <w:r w:rsidR="00483D22">
        <w:rPr>
          <w:rFonts w:ascii="Times New Roman" w:hAnsi="Times New Roman" w:cs="Times New Roman"/>
          <w:sz w:val="28"/>
          <w:szCs w:val="28"/>
        </w:rPr>
        <w:t xml:space="preserve"> на 202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9B3E55">
        <w:rPr>
          <w:rFonts w:ascii="Times New Roman" w:hAnsi="Times New Roman" w:cs="Times New Roman"/>
          <w:sz w:val="28"/>
          <w:szCs w:val="28"/>
        </w:rPr>
        <w:t>30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 xml:space="preserve"> по результатам 202</w:t>
      </w:r>
      <w:r w:rsidR="009B3E55">
        <w:rPr>
          <w:rFonts w:ascii="Times New Roman" w:hAnsi="Times New Roman" w:cs="Times New Roman"/>
          <w:sz w:val="28"/>
          <w:szCs w:val="28"/>
        </w:rPr>
        <w:t>4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682890">
        <w:rPr>
          <w:rFonts w:ascii="Times New Roman" w:hAnsi="Times New Roman" w:cs="Times New Roman"/>
          <w:sz w:val="28"/>
          <w:szCs w:val="28"/>
        </w:rPr>
        <w:t>высокий</w:t>
      </w:r>
      <w:r w:rsidR="00DB2579">
        <w:rPr>
          <w:rFonts w:ascii="Times New Roman" w:hAnsi="Times New Roman" w:cs="Times New Roman"/>
          <w:sz w:val="28"/>
          <w:szCs w:val="28"/>
        </w:rPr>
        <w:t xml:space="preserve"> уровень эффективности </w:t>
      </w:r>
      <w:r w:rsidR="00DB2579" w:rsidRPr="00DB2579">
        <w:rPr>
          <w:rFonts w:ascii="Times New Roman" w:hAnsi="Times New Roman" w:cs="Times New Roman"/>
          <w:sz w:val="28"/>
          <w:szCs w:val="28"/>
        </w:rPr>
        <w:t>муниципальной</w:t>
      </w:r>
      <w:r w:rsidR="00DB257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  <w:r w:rsidR="009B623C">
        <w:rPr>
          <w:rFonts w:ascii="Times New Roman" w:hAnsi="Times New Roman" w:cs="Times New Roman"/>
          <w:sz w:val="28"/>
          <w:szCs w:val="28"/>
        </w:rPr>
        <w:t xml:space="preserve">Возможно рассмотреть вопрос об увеличении количества молодых семей, получивших социальную выплату на приобретение (строительство) жилья, путем увеличения доли </w:t>
      </w:r>
      <w:proofErr w:type="spellStart"/>
      <w:r w:rsidR="009B62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B623C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бюджетов.</w:t>
      </w: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C49CB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762866" w:rsidRPr="00762866">
        <w:rPr>
          <w:rFonts w:ascii="Times New Roman" w:hAnsi="Times New Roman" w:cs="Times New Roman"/>
          <w:bCs/>
          <w:sz w:val="22"/>
          <w:szCs w:val="22"/>
        </w:rPr>
        <w:t xml:space="preserve">04.02.2025    </w:t>
      </w:r>
      <w:proofErr w:type="gramStart"/>
      <w:r w:rsidR="00762866" w:rsidRPr="00762866">
        <w:rPr>
          <w:rFonts w:ascii="Times New Roman" w:hAnsi="Times New Roman" w:cs="Times New Roman"/>
          <w:bCs/>
          <w:sz w:val="22"/>
          <w:szCs w:val="22"/>
        </w:rPr>
        <w:t>№  65</w:t>
      </w:r>
      <w:proofErr w:type="gramEnd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0C49CB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</w:t>
      </w:r>
      <w:r w:rsidR="009B3E55">
        <w:rPr>
          <w:rFonts w:ascii="Times New Roman" w:hAnsi="Times New Roman" w:cs="Times New Roman"/>
          <w:bCs/>
          <w:sz w:val="28"/>
          <w:szCs w:val="28"/>
        </w:rPr>
        <w:t>4-2030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402FA1">
        <w:rPr>
          <w:rFonts w:ascii="Times New Roman" w:hAnsi="Times New Roman" w:cs="Times New Roman"/>
          <w:bCs/>
          <w:sz w:val="28"/>
          <w:szCs w:val="28"/>
        </w:rPr>
        <w:t>202</w:t>
      </w:r>
      <w:r w:rsidR="009B3E55">
        <w:rPr>
          <w:rFonts w:ascii="Times New Roman" w:hAnsi="Times New Roman" w:cs="Times New Roman"/>
          <w:bCs/>
          <w:sz w:val="28"/>
          <w:szCs w:val="28"/>
        </w:rPr>
        <w:t>4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4394"/>
        <w:gridCol w:w="2070"/>
        <w:gridCol w:w="1474"/>
        <w:gridCol w:w="1768"/>
        <w:gridCol w:w="2148"/>
        <w:gridCol w:w="2604"/>
      </w:tblGrid>
      <w:tr w:rsidR="000C49CB" w:rsidRPr="000C49CB" w:rsidTr="0076325F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76325F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46012F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C49CB" w:rsidRPr="000C49CB" w:rsidTr="0046012F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012F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6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46012F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46012F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привлеченных средств при приобретении (строительстве) жилья (за исключением средств социальной выплаты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руб.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4801,0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4801,0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76325F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46012F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семей-участниц муниципальной программы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0C49CB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0C49CB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762866">
      <w:pPr>
        <w:ind w:left="963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762866" w:rsidRPr="00762866">
        <w:rPr>
          <w:rFonts w:ascii="Times New Roman" w:hAnsi="Times New Roman" w:cs="Times New Roman"/>
          <w:bCs/>
          <w:sz w:val="22"/>
          <w:szCs w:val="22"/>
        </w:rPr>
        <w:t xml:space="preserve">04.02.2025    </w:t>
      </w:r>
      <w:proofErr w:type="gramStart"/>
      <w:r w:rsidR="00762866" w:rsidRPr="00762866">
        <w:rPr>
          <w:rFonts w:ascii="Times New Roman" w:hAnsi="Times New Roman" w:cs="Times New Roman"/>
          <w:bCs/>
          <w:sz w:val="22"/>
          <w:szCs w:val="22"/>
        </w:rPr>
        <w:t>№  65</w:t>
      </w:r>
      <w:bookmarkStart w:id="3" w:name="_GoBack"/>
      <w:bookmarkEnd w:id="3"/>
      <w:proofErr w:type="gramEnd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  <w:r w:rsidR="00934866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области" на 202</w:t>
      </w:r>
      <w:r w:rsidR="009B3E55">
        <w:rPr>
          <w:rFonts w:ascii="Times New Roman" w:hAnsi="Times New Roman" w:cs="Times New Roman"/>
          <w:bCs/>
          <w:sz w:val="28"/>
          <w:szCs w:val="28"/>
        </w:rPr>
        <w:t>4-2030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9B3E55">
        <w:rPr>
          <w:rFonts w:ascii="Times New Roman" w:hAnsi="Times New Roman" w:cs="Times New Roman"/>
          <w:bCs/>
          <w:sz w:val="28"/>
          <w:szCs w:val="28"/>
        </w:rPr>
        <w:t>4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427"/>
        <w:gridCol w:w="1560"/>
        <w:gridCol w:w="1559"/>
        <w:gridCol w:w="1842"/>
        <w:gridCol w:w="4961"/>
      </w:tblGrid>
      <w:tr w:rsidR="000C49CB" w:rsidRPr="000C49CB" w:rsidTr="00AE054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AE054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6325F" w:rsidRPr="000C49CB" w:rsidTr="00AE054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7799,8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7799,8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992,318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992,318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76325F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1747,971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1747,971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76325F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258,511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258,511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325F" w:rsidRPr="000C49CB" w:rsidTr="0076325F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4801,0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76325F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4801,0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5F" w:rsidRDefault="0076325F" w:rsidP="0076325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325F" w:rsidRPr="000C49CB" w:rsidRDefault="0076325F" w:rsidP="00763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682890" w:rsidP="000C49C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Среднее значение – 01</w:t>
      </w:r>
    </w:p>
    <w:p w:rsidR="009A61EF" w:rsidRPr="009A61EF" w:rsidRDefault="009A61EF" w:rsidP="009A61EF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1EF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0C49CB" w:rsidRPr="00D922E2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C49CB" w:rsidRPr="00D922E2" w:rsidSect="0076325F">
      <w:pgSz w:w="16838" w:h="11906" w:orient="landscape"/>
      <w:pgMar w:top="993" w:right="42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49CB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3EF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3C7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44F5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2FA1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12F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3D22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0D0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890"/>
    <w:rsid w:val="00682F78"/>
    <w:rsid w:val="006838DC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866"/>
    <w:rsid w:val="00762AD4"/>
    <w:rsid w:val="0076325F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1FBD"/>
    <w:rsid w:val="007B37BC"/>
    <w:rsid w:val="007B3CDC"/>
    <w:rsid w:val="007B5DE7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866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A61EF"/>
    <w:rsid w:val="009B0308"/>
    <w:rsid w:val="009B1611"/>
    <w:rsid w:val="009B3475"/>
    <w:rsid w:val="009B3E55"/>
    <w:rsid w:val="009B623C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0548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1C1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2579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07F5"/>
    <w:rsid w:val="00ED3537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3AA2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6967ED71"/>
  <w15:docId w15:val="{5238A942-6632-4DB6-BD27-26D99E75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Org_otdel_NPA</cp:lastModifiedBy>
  <cp:revision>32</cp:revision>
  <cp:lastPrinted>2025-02-05T06:18:00Z</cp:lastPrinted>
  <dcterms:created xsi:type="dcterms:W3CDTF">2016-02-12T07:37:00Z</dcterms:created>
  <dcterms:modified xsi:type="dcterms:W3CDTF">2025-02-05T06:18:00Z</dcterms:modified>
</cp:coreProperties>
</file>