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BA" w:rsidRDefault="00E303BA" w:rsidP="00E303BA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Экономическое обоснование по увеличению </w:t>
      </w:r>
      <w:r w:rsidR="007A618F">
        <w:rPr>
          <w:rFonts w:ascii="Times New Roman" w:hAnsi="Times New Roman" w:cs="Times New Roman"/>
          <w:sz w:val="28"/>
          <w:szCs w:val="28"/>
        </w:rPr>
        <w:t xml:space="preserve">коэффициентов, применяемых при определении размеров арендной платы за использование земельных участков, государственная собственность на которые не разграничена, находящихся на территории </w:t>
      </w:r>
      <w:proofErr w:type="spellStart"/>
      <w:r w:rsidR="007A618F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7A618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618F" w:rsidRDefault="00DD0858" w:rsidP="007A618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Нами проведен общий анализ затрат на использование земельных участков в среднем за период с 2019 по 2021 годы по 5 предприятиям, заключившим договора аренды земель сельскохозяйственного назначения без проведения торгов (ООО «Радуга», СХА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ООО «Орловка»-АИЦ, АО «Северный ключ», ИП Глава 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Исхаков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К.Б.).</w:t>
      </w:r>
    </w:p>
    <w:p w:rsidR="00DD0858" w:rsidRPr="00F522C1" w:rsidRDefault="00DD0858" w:rsidP="00DD0858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522C1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6"/>
        <w:gridCol w:w="1000"/>
        <w:gridCol w:w="1100"/>
        <w:gridCol w:w="1175"/>
        <w:gridCol w:w="1282"/>
        <w:gridCol w:w="1339"/>
        <w:gridCol w:w="1073"/>
      </w:tblGrid>
      <w:tr w:rsidR="00FC45E5" w:rsidRPr="000500CA" w:rsidTr="00FC45E5">
        <w:trPr>
          <w:trHeight w:val="1501"/>
        </w:trPr>
        <w:tc>
          <w:tcPr>
            <w:tcW w:w="540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000" w:type="dxa"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"Радуга"</w:t>
            </w:r>
          </w:p>
        </w:tc>
        <w:tc>
          <w:tcPr>
            <w:tcW w:w="1175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СХА имени Пушкина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"Орловка"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-АИЦ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"Северный ключ"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</w:t>
            </w:r>
            <w:proofErr w:type="spellEnd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Б.</w:t>
            </w:r>
          </w:p>
        </w:tc>
      </w:tr>
      <w:tr w:rsidR="00FC45E5" w:rsidRPr="000500CA" w:rsidTr="00FC45E5">
        <w:trPr>
          <w:trHeight w:val="54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фактическая сумма затрат на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земельных участков</w:t>
            </w:r>
          </w:p>
        </w:tc>
        <w:tc>
          <w:tcPr>
            <w:tcW w:w="1000" w:type="dxa"/>
          </w:tcPr>
          <w:p w:rsidR="00FC45E5" w:rsidRPr="00D22B18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11469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259048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</w:t>
            </w:r>
          </w:p>
        </w:tc>
      </w:tr>
      <w:tr w:rsidR="00FC45E5" w:rsidRPr="000500CA" w:rsidTr="00FC45E5">
        <w:trPr>
          <w:trHeight w:val="780"/>
        </w:trPr>
        <w:tc>
          <w:tcPr>
            <w:tcW w:w="540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shd w:val="clear" w:color="000000" w:fill="CCFFCC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общий удельный вес затрат по использованию земель к общей 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умме затрат по растениеводству</w:t>
            </w:r>
          </w:p>
        </w:tc>
        <w:tc>
          <w:tcPr>
            <w:tcW w:w="1000" w:type="dxa"/>
            <w:shd w:val="clear" w:color="000000" w:fill="CCFFCC"/>
          </w:tcPr>
          <w:p w:rsidR="00FC45E5" w:rsidRPr="00D22B18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75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82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39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073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39,7</w:t>
            </w:r>
          </w:p>
        </w:tc>
      </w:tr>
      <w:tr w:rsidR="00FC45E5" w:rsidRPr="000500CA" w:rsidTr="00FC45E5">
        <w:trPr>
          <w:trHeight w:val="5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договорам с </w:t>
            </w:r>
            <w:proofErr w:type="spellStart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</w:t>
            </w:r>
            <w:proofErr w:type="spellEnd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истрациями сельских поселений</w:t>
            </w:r>
          </w:p>
        </w:tc>
        <w:tc>
          <w:tcPr>
            <w:tcW w:w="1000" w:type="dxa"/>
          </w:tcPr>
          <w:p w:rsidR="00FC45E5" w:rsidRPr="00D22B18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45E5" w:rsidRPr="000500CA" w:rsidTr="00FC45E5">
        <w:trPr>
          <w:trHeight w:val="5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05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договорам аренды с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обственниками земельных долей</w:t>
            </w:r>
          </w:p>
        </w:tc>
        <w:tc>
          <w:tcPr>
            <w:tcW w:w="1000" w:type="dxa"/>
          </w:tcPr>
          <w:p w:rsidR="00FC45E5" w:rsidRPr="00D22B18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C45E5" w:rsidRPr="000500CA" w:rsidTr="00FC45E5">
        <w:trPr>
          <w:trHeight w:val="4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рма собственного производства</w:t>
            </w:r>
          </w:p>
        </w:tc>
        <w:tc>
          <w:tcPr>
            <w:tcW w:w="1000" w:type="dxa"/>
          </w:tcPr>
          <w:p w:rsidR="00FC45E5" w:rsidRPr="00D22B18" w:rsidRDefault="00FC45E5" w:rsidP="00FC45E5">
            <w:pPr>
              <w:jc w:val="center"/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FC45E5" w:rsidRPr="000500CA" w:rsidTr="00FC45E5">
        <w:trPr>
          <w:trHeight w:val="765"/>
        </w:trPr>
        <w:tc>
          <w:tcPr>
            <w:tcW w:w="540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6" w:type="dxa"/>
            <w:shd w:val="clear" w:color="000000" w:fill="CCFFCC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общий удельный вес затрат по использованию земель к общей су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мме затрат по растениеводству</w:t>
            </w:r>
          </w:p>
        </w:tc>
        <w:tc>
          <w:tcPr>
            <w:tcW w:w="1000" w:type="dxa"/>
            <w:shd w:val="clear" w:color="000000" w:fill="CCFFCC"/>
          </w:tcPr>
          <w:p w:rsidR="00FC45E5" w:rsidRPr="00D22B18" w:rsidRDefault="00FC45E5" w:rsidP="00FC45E5">
            <w:pPr>
              <w:jc w:val="center"/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75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82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39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073" w:type="dxa"/>
            <w:shd w:val="clear" w:color="000000" w:fill="CCFFCC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42,5</w:t>
            </w:r>
          </w:p>
        </w:tc>
      </w:tr>
      <w:tr w:rsidR="00FC45E5" w:rsidRPr="000500CA" w:rsidTr="00FC45E5">
        <w:trPr>
          <w:trHeight w:val="54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договорам с </w:t>
            </w:r>
            <w:proofErr w:type="spellStart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</w:t>
            </w:r>
            <w:proofErr w:type="spellEnd"/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истрациями сельских поселений</w:t>
            </w:r>
          </w:p>
        </w:tc>
        <w:tc>
          <w:tcPr>
            <w:tcW w:w="1000" w:type="dxa"/>
          </w:tcPr>
          <w:p w:rsidR="00FC45E5" w:rsidRPr="00D22B18" w:rsidRDefault="00FC45E5" w:rsidP="00FC45E5">
            <w:pPr>
              <w:jc w:val="center"/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C45E5" w:rsidRPr="000500CA" w:rsidTr="0013474F">
        <w:trPr>
          <w:trHeight w:val="699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фактическая  сумма затрат за использование земельных участков в расчете на 1 гектар, (при к-те 0,008)</w:t>
            </w:r>
          </w:p>
        </w:tc>
        <w:tc>
          <w:tcPr>
            <w:tcW w:w="1000" w:type="dxa"/>
          </w:tcPr>
          <w:p w:rsidR="00FC45E5" w:rsidRPr="00D22B18" w:rsidRDefault="00691AC5" w:rsidP="00691AC5">
            <w:pPr>
              <w:jc w:val="center"/>
            </w:pPr>
            <w:r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FC45E5"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</w:t>
            </w:r>
            <w:r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C45E5"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FC45E5"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45E5"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3562,0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1877,0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11141,0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2062,0</w:t>
            </w:r>
          </w:p>
        </w:tc>
      </w:tr>
      <w:tr w:rsidR="00FC45E5" w:rsidRPr="000500CA" w:rsidTr="00FC45E5">
        <w:trPr>
          <w:trHeight w:val="87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сумма затрат за использование земельных участков в расчете на 1 гектар, (при к-те 0,024)</w:t>
            </w:r>
          </w:p>
        </w:tc>
        <w:tc>
          <w:tcPr>
            <w:tcW w:w="1000" w:type="dxa"/>
          </w:tcPr>
          <w:p w:rsidR="00FC45E5" w:rsidRPr="00D22B18" w:rsidRDefault="00691AC5" w:rsidP="00691AC5">
            <w:pPr>
              <w:jc w:val="center"/>
            </w:pPr>
            <w:r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FC45E5"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</w:t>
            </w:r>
            <w:r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C45E5" w:rsidRPr="00D22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45E5"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/га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3563,0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940,0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11253,0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2210,0</w:t>
            </w:r>
          </w:p>
        </w:tc>
      </w:tr>
      <w:tr w:rsidR="00FC45E5" w:rsidRPr="000500CA" w:rsidTr="00FC45E5">
        <w:trPr>
          <w:trHeight w:val="870"/>
        </w:trPr>
        <w:tc>
          <w:tcPr>
            <w:tcW w:w="540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6" w:type="dxa"/>
            <w:shd w:val="clear" w:color="000000" w:fill="FFFF00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новая сумма затрат на  использование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земельных участков</w:t>
            </w:r>
          </w:p>
        </w:tc>
        <w:tc>
          <w:tcPr>
            <w:tcW w:w="1000" w:type="dxa"/>
            <w:shd w:val="clear" w:color="000000" w:fill="FFFF00"/>
          </w:tcPr>
          <w:p w:rsidR="00FC45E5" w:rsidRPr="00D22B18" w:rsidRDefault="00FC45E5" w:rsidP="00691AC5">
            <w:pPr>
              <w:spacing w:after="0" w:line="240" w:lineRule="auto"/>
              <w:jc w:val="center"/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11474,0</w:t>
            </w:r>
          </w:p>
        </w:tc>
        <w:tc>
          <w:tcPr>
            <w:tcW w:w="1175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9225,0</w:t>
            </w:r>
          </w:p>
        </w:tc>
        <w:tc>
          <w:tcPr>
            <w:tcW w:w="1282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4383,0</w:t>
            </w:r>
          </w:p>
        </w:tc>
        <w:tc>
          <w:tcPr>
            <w:tcW w:w="1339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261637,0</w:t>
            </w:r>
          </w:p>
        </w:tc>
        <w:tc>
          <w:tcPr>
            <w:tcW w:w="1073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7730,0</w:t>
            </w:r>
          </w:p>
        </w:tc>
      </w:tr>
      <w:tr w:rsidR="00FC45E5" w:rsidRPr="000500CA" w:rsidTr="00FC45E5">
        <w:trPr>
          <w:trHeight w:val="450"/>
        </w:trPr>
        <w:tc>
          <w:tcPr>
            <w:tcW w:w="540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6" w:type="dxa"/>
            <w:shd w:val="clear" w:color="000000" w:fill="FFFF00"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ница (увеличение всего)</w:t>
            </w:r>
          </w:p>
        </w:tc>
        <w:tc>
          <w:tcPr>
            <w:tcW w:w="1000" w:type="dxa"/>
            <w:shd w:val="clear" w:color="000000" w:fill="FFFF00"/>
          </w:tcPr>
          <w:p w:rsidR="00FC45E5" w:rsidRPr="00D22B18" w:rsidRDefault="00FC45E5" w:rsidP="00691AC5">
            <w:pPr>
              <w:spacing w:after="0" w:line="240" w:lineRule="auto"/>
              <w:jc w:val="center"/>
            </w:pPr>
            <w:r w:rsidRPr="000500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5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1282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39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2589,0</w:t>
            </w:r>
          </w:p>
        </w:tc>
        <w:tc>
          <w:tcPr>
            <w:tcW w:w="1073" w:type="dxa"/>
            <w:shd w:val="clear" w:color="000000" w:fill="FFFF00"/>
            <w:noWrap/>
            <w:vAlign w:val="bottom"/>
            <w:hideMark/>
          </w:tcPr>
          <w:p w:rsidR="00FC45E5" w:rsidRPr="000500CA" w:rsidRDefault="00FC45E5" w:rsidP="00FC4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516,0</w:t>
            </w:r>
          </w:p>
        </w:tc>
      </w:tr>
    </w:tbl>
    <w:p w:rsidR="00D015ED" w:rsidRDefault="00D015ED" w:rsidP="006A44A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44A7" w:rsidRDefault="00D015ED" w:rsidP="006A44A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анализ затрат по существующему коэффициенту 0,008 и предложенному 0,024 показывает незначительное увеличение в общем удельном весе затрат на использование земель (от 0,1 до </w:t>
      </w:r>
      <w:r w:rsidR="005A2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,8%).</w:t>
      </w:r>
    </w:p>
    <w:p w:rsidR="005A2CD4" w:rsidRPr="00F522C1" w:rsidRDefault="005A2CD4" w:rsidP="005A2CD4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522C1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429"/>
        <w:gridCol w:w="980"/>
        <w:gridCol w:w="1100"/>
        <w:gridCol w:w="1276"/>
        <w:gridCol w:w="1362"/>
        <w:gridCol w:w="1339"/>
      </w:tblGrid>
      <w:tr w:rsidR="00F66039" w:rsidRPr="005A2CD4" w:rsidTr="00FC45E5">
        <w:trPr>
          <w:trHeight w:val="976"/>
        </w:trPr>
        <w:tc>
          <w:tcPr>
            <w:tcW w:w="540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66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43" w:type="dxa"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СХА имени Пушкина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"Орловка"-АИЦ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F66039" w:rsidRPr="005A2CD4" w:rsidRDefault="00F66039" w:rsidP="005A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"Северный ключ"</w:t>
            </w:r>
          </w:p>
        </w:tc>
      </w:tr>
      <w:tr w:rsidR="00F66039" w:rsidRPr="005A2CD4" w:rsidTr="00FC45E5">
        <w:trPr>
          <w:trHeight w:val="52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6" w:type="dxa"/>
            <w:shd w:val="clear" w:color="auto" w:fill="auto"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табельности по растениеводству</w:t>
            </w:r>
          </w:p>
        </w:tc>
        <w:tc>
          <w:tcPr>
            <w:tcW w:w="843" w:type="dxa"/>
          </w:tcPr>
          <w:p w:rsidR="00F66039" w:rsidRDefault="00F66039" w:rsidP="00F66039">
            <w:pPr>
              <w:jc w:val="center"/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66039" w:rsidRPr="005A2CD4" w:rsidTr="00FC45E5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6" w:type="dxa"/>
            <w:shd w:val="clear" w:color="auto" w:fill="auto"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овень рентабельности зерновых</w:t>
            </w:r>
          </w:p>
        </w:tc>
        <w:tc>
          <w:tcPr>
            <w:tcW w:w="843" w:type="dxa"/>
          </w:tcPr>
          <w:p w:rsidR="00F66039" w:rsidRDefault="00F66039" w:rsidP="00F66039">
            <w:pPr>
              <w:jc w:val="center"/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F66039" w:rsidRPr="005A2CD4" w:rsidTr="00FC45E5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6" w:type="dxa"/>
            <w:shd w:val="clear" w:color="auto" w:fill="auto"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рентабельности подсолнечника</w:t>
            </w:r>
          </w:p>
        </w:tc>
        <w:tc>
          <w:tcPr>
            <w:tcW w:w="843" w:type="dxa"/>
          </w:tcPr>
          <w:p w:rsidR="00F66039" w:rsidRDefault="00F66039" w:rsidP="00F66039">
            <w:pPr>
              <w:jc w:val="center"/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F66039" w:rsidRPr="005A2CD4" w:rsidRDefault="00F66039" w:rsidP="00F6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</w:tbl>
    <w:p w:rsidR="005A2CD4" w:rsidRDefault="005A2CD4" w:rsidP="005A2CD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2C1" w:rsidRDefault="008709D0" w:rsidP="005A2CD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рентабельности на предприятиях за период с 2019 по 2021 годы по отрасли растениеводства и отдельных культур составляет от 38 % до 89 %.</w:t>
      </w:r>
    </w:p>
    <w:p w:rsidR="008709D0" w:rsidRPr="002327DA" w:rsidRDefault="002327DA" w:rsidP="002327DA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327DA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0485" w:type="dxa"/>
        <w:tblLayout w:type="fixed"/>
        <w:tblLook w:val="04A0" w:firstRow="1" w:lastRow="0" w:firstColumn="1" w:lastColumn="0" w:noHBand="0" w:noVBand="1"/>
      </w:tblPr>
      <w:tblGrid>
        <w:gridCol w:w="540"/>
        <w:gridCol w:w="2857"/>
        <w:gridCol w:w="709"/>
        <w:gridCol w:w="1134"/>
        <w:gridCol w:w="1276"/>
        <w:gridCol w:w="1276"/>
        <w:gridCol w:w="1417"/>
        <w:gridCol w:w="1276"/>
      </w:tblGrid>
      <w:tr w:rsidR="002327DA" w:rsidRPr="002327DA" w:rsidTr="00832359">
        <w:trPr>
          <w:trHeight w:val="1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"Радуга"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СХА имени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"Орловка"-АИЦ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"Северный ключ"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</w:t>
            </w:r>
            <w:proofErr w:type="spellEnd"/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Б.</w:t>
            </w:r>
          </w:p>
        </w:tc>
      </w:tr>
      <w:tr w:rsidR="00832359" w:rsidRPr="002327DA" w:rsidTr="00832359">
        <w:trPr>
          <w:trHeight w:val="1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359" w:rsidRPr="002327DA" w:rsidRDefault="00832359" w:rsidP="00832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2327DA" w:rsidRDefault="00832359" w:rsidP="00832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затрат на аренду земельных долей с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бственниками в расчете на 1 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2327DA" w:rsidRDefault="00832359" w:rsidP="00832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832359" w:rsidRDefault="00832359" w:rsidP="00832359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832359">
              <w:rPr>
                <w:rFonts w:ascii="Arial CYR" w:hAnsi="Arial CYR" w:cs="Arial CYR"/>
                <w:bCs/>
                <w:sz w:val="20"/>
                <w:szCs w:val="20"/>
              </w:rPr>
              <w:t>641,0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832359" w:rsidRDefault="00832359" w:rsidP="00832359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832359">
              <w:rPr>
                <w:rFonts w:ascii="Arial CYR" w:hAnsi="Arial CYR" w:cs="Arial CYR"/>
                <w:bCs/>
                <w:sz w:val="20"/>
                <w:szCs w:val="20"/>
              </w:rPr>
              <w:t>378,0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832359" w:rsidRDefault="00832359" w:rsidP="00832359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832359">
              <w:rPr>
                <w:rFonts w:ascii="Arial CYR" w:hAnsi="Arial CYR" w:cs="Arial CYR"/>
                <w:bCs/>
                <w:sz w:val="20"/>
                <w:szCs w:val="20"/>
              </w:rPr>
              <w:t>981,0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832359" w:rsidRDefault="00832359" w:rsidP="00832359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832359">
              <w:rPr>
                <w:rFonts w:ascii="Arial CYR" w:hAnsi="Arial CYR" w:cs="Arial CYR"/>
                <w:bCs/>
                <w:sz w:val="20"/>
                <w:szCs w:val="20"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59" w:rsidRPr="00832359" w:rsidRDefault="00832359" w:rsidP="00832359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832359">
              <w:rPr>
                <w:rFonts w:ascii="Arial CYR" w:hAnsi="Arial CYR" w:cs="Arial CYR"/>
                <w:bCs/>
                <w:sz w:val="20"/>
                <w:szCs w:val="20"/>
              </w:rPr>
              <w:t>925,0</w:t>
            </w:r>
          </w:p>
        </w:tc>
      </w:tr>
      <w:tr w:rsidR="002327DA" w:rsidRPr="002327DA" w:rsidTr="00832359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832359" w:rsidP="0023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затрат на аренду земельных участков по договорам аренды  в расчете на 1 га фактическая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руб./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375,0</w:t>
            </w:r>
          </w:p>
        </w:tc>
      </w:tr>
      <w:tr w:rsidR="002327DA" w:rsidRPr="002327DA" w:rsidTr="007D7E28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DA" w:rsidRPr="002327DA" w:rsidRDefault="00832359" w:rsidP="0023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средняя ставка по договорам на земли районного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</w:tr>
      <w:tr w:rsidR="002327DA" w:rsidRPr="002327DA" w:rsidTr="007D7E28">
        <w:trPr>
          <w:trHeight w:val="10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DA" w:rsidRPr="002327DA" w:rsidRDefault="00832359" w:rsidP="0023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Фактический удельный вес затрат на аренду земельных участков по договорам с </w:t>
            </w:r>
            <w:proofErr w:type="spellStart"/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КУМи</w:t>
            </w:r>
            <w:proofErr w:type="spellEnd"/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администрациями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2327DA" w:rsidRPr="002327DA" w:rsidTr="007D7E28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DA" w:rsidRPr="002327DA" w:rsidRDefault="00832359" w:rsidP="0023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Новый удельный вес затрат на аренду земельных участков по договорам с </w:t>
            </w:r>
            <w:proofErr w:type="spellStart"/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КУМи</w:t>
            </w:r>
            <w:proofErr w:type="spellEnd"/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администрациями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DA" w:rsidRPr="002327DA" w:rsidRDefault="002327DA" w:rsidP="0023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2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</w:tbl>
    <w:p w:rsidR="00D015ED" w:rsidRDefault="00D015ED" w:rsidP="006A44A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1F61" w:rsidRDefault="00931F61" w:rsidP="006A44A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проведен сравнительный анализ ставки арендной платы за земли сельскохозяйственного назначения арендуемых у дольщиков и договорам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1F61" w:rsidRPr="00931F61" w:rsidRDefault="00931F61" w:rsidP="00931F61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1F61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0653" w:type="dxa"/>
        <w:tblLook w:val="04A0" w:firstRow="1" w:lastRow="0" w:firstColumn="1" w:lastColumn="0" w:noHBand="0" w:noVBand="1"/>
      </w:tblPr>
      <w:tblGrid>
        <w:gridCol w:w="540"/>
        <w:gridCol w:w="2764"/>
        <w:gridCol w:w="1071"/>
        <w:gridCol w:w="1100"/>
        <w:gridCol w:w="1175"/>
        <w:gridCol w:w="1362"/>
        <w:gridCol w:w="1339"/>
        <w:gridCol w:w="1302"/>
      </w:tblGrid>
      <w:tr w:rsidR="00931F61" w:rsidRPr="00931F61" w:rsidTr="00DA6862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31F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"Радуга"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СХА имени Пушкина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"Орловка"-АИЦ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"Северный ключ"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Б.</w:t>
            </w:r>
          </w:p>
        </w:tc>
      </w:tr>
      <w:tr w:rsidR="00931F61" w:rsidRPr="00931F61" w:rsidTr="00DA6862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F61" w:rsidRPr="00931F61" w:rsidTr="00DA686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 договорам аренды с </w:t>
            </w: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истрациями сельских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</w:tr>
      <w:tr w:rsidR="00931F61" w:rsidRPr="00931F61" w:rsidTr="00DA6862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сумма 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 по растениеводству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45777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18197</w:t>
            </w:r>
          </w:p>
        </w:tc>
      </w:tr>
      <w:tr w:rsidR="00931F61" w:rsidRPr="00931F61" w:rsidTr="00DA686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аренду земельных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 по договорам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</w:tr>
      <w:tr w:rsidR="00931F61" w:rsidRPr="00931F61" w:rsidTr="00DA6862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затрат на аренду земельных участков по договорам аренды  в расч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ете на 1 га фактическая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руб./га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375,0</w:t>
            </w:r>
          </w:p>
        </w:tc>
      </w:tr>
      <w:tr w:rsidR="00931F61" w:rsidRPr="00931F61" w:rsidTr="00DA686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средняя ставка по 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ворам на земли районного фонда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</w:tr>
      <w:tr w:rsidR="00931F61" w:rsidRPr="00931F61" w:rsidTr="00DA686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к оплате за аренду при повышении к-та  до 0,024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  <w:tr w:rsidR="00931F61" w:rsidRPr="00931F61" w:rsidTr="00DA686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(увеличение)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</w:tr>
      <w:tr w:rsidR="00931F61" w:rsidRPr="00931F61" w:rsidTr="00DA6862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Фактический удельный вес затрат на аренду земельных участков по договорам с </w:t>
            </w:r>
            <w:proofErr w:type="spellStart"/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КУМи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админ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истрациями сельских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931F61" w:rsidRPr="00931F61" w:rsidTr="00DA6862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Новый удельный вес затрат на аренду земельных участков по договорам с </w:t>
            </w:r>
            <w:proofErr w:type="spellStart"/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КУМи</w:t>
            </w:r>
            <w:proofErr w:type="spellEnd"/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истрациями сельских поселений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F61" w:rsidRPr="00931F61" w:rsidRDefault="00931F61" w:rsidP="0093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</w:tbl>
    <w:p w:rsidR="00DA6862" w:rsidRDefault="00DA6862" w:rsidP="00931F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Средняя ставка арендной платы по договорам с дольщиками составляет 668,2 руб. за 1 га., минимум – 378 руб., максимум – 925 руб.</w:t>
      </w:r>
    </w:p>
    <w:p w:rsidR="00DA6862" w:rsidRDefault="00DA6862" w:rsidP="00931F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по договорам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применением коэффициента 0,008, средняя ставка арендной платы составляет 438,3 руб. за 1 га (разница в 52 %).</w:t>
      </w:r>
    </w:p>
    <w:p w:rsidR="00DA6862" w:rsidRDefault="00940445" w:rsidP="00DA686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конкурсным процедурам (аукционам) за 2021 год по продаже ставки арендной платы.</w:t>
      </w:r>
    </w:p>
    <w:p w:rsidR="00940445" w:rsidRPr="00940445" w:rsidRDefault="00940445" w:rsidP="00940445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40445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1"/>
        <w:gridCol w:w="1212"/>
        <w:gridCol w:w="1021"/>
        <w:gridCol w:w="1496"/>
        <w:gridCol w:w="1676"/>
        <w:gridCol w:w="1648"/>
        <w:gridCol w:w="1721"/>
      </w:tblGrid>
      <w:tr w:rsidR="00940445" w:rsidTr="00940445">
        <w:tc>
          <w:tcPr>
            <w:tcW w:w="1422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445">
              <w:rPr>
                <w:rFonts w:ascii="Times New Roman" w:hAnsi="Times New Roman" w:cs="Times New Roman"/>
                <w:sz w:val="24"/>
                <w:szCs w:val="24"/>
              </w:rPr>
              <w:t>Количество аукционов, ед.</w:t>
            </w:r>
          </w:p>
        </w:tc>
        <w:tc>
          <w:tcPr>
            <w:tcW w:w="1212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га</w:t>
            </w:r>
          </w:p>
        </w:tc>
        <w:tc>
          <w:tcPr>
            <w:tcW w:w="1021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аренды, лет</w:t>
            </w:r>
          </w:p>
        </w:tc>
        <w:tc>
          <w:tcPr>
            <w:tcW w:w="1443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участников, чел.</w:t>
            </w:r>
          </w:p>
        </w:tc>
        <w:tc>
          <w:tcPr>
            <w:tcW w:w="1728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ставки арендной платы по результатам аукциона, руб.</w:t>
            </w:r>
          </w:p>
        </w:tc>
        <w:tc>
          <w:tcPr>
            <w:tcW w:w="1648" w:type="dxa"/>
          </w:tcPr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ставка, руб.</w:t>
            </w:r>
          </w:p>
        </w:tc>
        <w:tc>
          <w:tcPr>
            <w:tcW w:w="1721" w:type="dxa"/>
          </w:tcPr>
          <w:p w:rsid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ставка, руб.</w:t>
            </w:r>
          </w:p>
          <w:p w:rsidR="00940445" w:rsidRPr="00940445" w:rsidRDefault="00940445" w:rsidP="009404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445" w:rsidTr="00940445">
        <w:tc>
          <w:tcPr>
            <w:tcW w:w="1422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2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</w:p>
        </w:tc>
        <w:tc>
          <w:tcPr>
            <w:tcW w:w="1021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3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  <w:tc>
          <w:tcPr>
            <w:tcW w:w="1728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1602,17</w:t>
            </w:r>
          </w:p>
        </w:tc>
        <w:tc>
          <w:tcPr>
            <w:tcW w:w="1648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918,0</w:t>
            </w:r>
          </w:p>
        </w:tc>
        <w:tc>
          <w:tcPr>
            <w:tcW w:w="1721" w:type="dxa"/>
          </w:tcPr>
          <w:p w:rsidR="00940445" w:rsidRPr="00940445" w:rsidRDefault="00940445" w:rsidP="009404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5106,0</w:t>
            </w:r>
          </w:p>
        </w:tc>
      </w:tr>
    </w:tbl>
    <w:p w:rsidR="00940445" w:rsidRDefault="00940445" w:rsidP="009404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1216" w:rsidRDefault="00571216" w:rsidP="0057121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01.05.2022 г. заключено 30 договоров аренды по статье 39.6 Земельного кодекса Российской Федерации, статья 10 Федерального закона от 24.07.2002г. № 101-ФЗ «Об обороте земель сельскохозяйственного назначения», статья 3 Федерального закона от 25.10.2001г. № 137-ФЗ «О введении в действие Земельного кодекса Российской Федерации» на общую площадь 3 410 га.</w:t>
      </w:r>
    </w:p>
    <w:p w:rsidR="00571216" w:rsidRPr="00571216" w:rsidRDefault="00571216" w:rsidP="00571216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71216"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134"/>
        <w:gridCol w:w="2835"/>
        <w:gridCol w:w="2403"/>
      </w:tblGrid>
      <w:tr w:rsidR="00571216" w:rsidTr="00571216">
        <w:tc>
          <w:tcPr>
            <w:tcW w:w="382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216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571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0,008</w:t>
            </w:r>
          </w:p>
        </w:tc>
        <w:tc>
          <w:tcPr>
            <w:tcW w:w="240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0,024</w:t>
            </w:r>
          </w:p>
        </w:tc>
      </w:tr>
      <w:tr w:rsidR="00571216" w:rsidTr="00571216">
        <w:tc>
          <w:tcPr>
            <w:tcW w:w="3823" w:type="dxa"/>
          </w:tcPr>
          <w:p w:rsidR="00571216" w:rsidRPr="00571216" w:rsidRDefault="00571216" w:rsidP="005712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арендной платы за 1 га:</w:t>
            </w:r>
          </w:p>
        </w:tc>
        <w:tc>
          <w:tcPr>
            <w:tcW w:w="1134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216" w:rsidTr="00571216">
        <w:tc>
          <w:tcPr>
            <w:tcW w:w="3823" w:type="dxa"/>
          </w:tcPr>
          <w:p w:rsidR="00571216" w:rsidRPr="00571216" w:rsidRDefault="00571216" w:rsidP="005712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ставка</w:t>
            </w:r>
          </w:p>
        </w:tc>
        <w:tc>
          <w:tcPr>
            <w:tcW w:w="1134" w:type="dxa"/>
          </w:tcPr>
          <w:p w:rsidR="00571216" w:rsidRDefault="00571216" w:rsidP="00571216">
            <w:pPr>
              <w:jc w:val="center"/>
            </w:pPr>
            <w:r w:rsidRPr="0072612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835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240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571216" w:rsidTr="00571216">
        <w:tc>
          <w:tcPr>
            <w:tcW w:w="3823" w:type="dxa"/>
          </w:tcPr>
          <w:p w:rsidR="00571216" w:rsidRPr="00571216" w:rsidRDefault="00571216" w:rsidP="005712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ставка</w:t>
            </w:r>
          </w:p>
        </w:tc>
        <w:tc>
          <w:tcPr>
            <w:tcW w:w="1134" w:type="dxa"/>
          </w:tcPr>
          <w:p w:rsidR="00571216" w:rsidRDefault="00571216" w:rsidP="00571216">
            <w:pPr>
              <w:jc w:val="center"/>
            </w:pPr>
            <w:r w:rsidRPr="0072612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835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982,0</w:t>
            </w:r>
          </w:p>
        </w:tc>
        <w:tc>
          <w:tcPr>
            <w:tcW w:w="240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1066,0</w:t>
            </w:r>
          </w:p>
        </w:tc>
      </w:tr>
      <w:tr w:rsidR="00571216" w:rsidTr="00571216">
        <w:tc>
          <w:tcPr>
            <w:tcW w:w="3823" w:type="dxa"/>
          </w:tcPr>
          <w:p w:rsidR="00571216" w:rsidRPr="00571216" w:rsidRDefault="00571216" w:rsidP="005712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</w:t>
            </w:r>
          </w:p>
        </w:tc>
        <w:tc>
          <w:tcPr>
            <w:tcW w:w="1134" w:type="dxa"/>
          </w:tcPr>
          <w:p w:rsidR="00571216" w:rsidRDefault="00571216" w:rsidP="00571216">
            <w:pPr>
              <w:jc w:val="center"/>
            </w:pPr>
            <w:r w:rsidRPr="0072612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835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438,3</w:t>
            </w:r>
          </w:p>
        </w:tc>
        <w:tc>
          <w:tcPr>
            <w:tcW w:w="2403" w:type="dxa"/>
          </w:tcPr>
          <w:p w:rsidR="00571216" w:rsidRPr="00571216" w:rsidRDefault="00571216" w:rsidP="005712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825,0</w:t>
            </w:r>
          </w:p>
        </w:tc>
      </w:tr>
    </w:tbl>
    <w:p w:rsidR="00571216" w:rsidRDefault="00FF26F5" w:rsidP="0057121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коэффициента до 0,024 увеличит доход в бюджет района на сумму 1</w:t>
      </w:r>
      <w:r w:rsidR="00233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598 600 рублей.</w:t>
      </w:r>
    </w:p>
    <w:p w:rsidR="00233F15" w:rsidRDefault="00233F15" w:rsidP="0013474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Финансово-экономическое состояние предприятий устойчивое и стабильное.</w:t>
      </w:r>
    </w:p>
    <w:p w:rsidR="00233F15" w:rsidRDefault="00233F15" w:rsidP="00233F1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коэффициенты, применяемые при определении размеров арендной платы за использование земельных участков, государственная собственность на которые не разграничена, находящихся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до 0,024 позволит создать равные условия для участников рынка (конкуренция) и увеличить доходную часть бюджета района.</w:t>
      </w:r>
    </w:p>
    <w:sectPr w:rsidR="00233F15" w:rsidSect="002503D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53"/>
    <w:rsid w:val="000500CA"/>
    <w:rsid w:val="000B2309"/>
    <w:rsid w:val="0013474F"/>
    <w:rsid w:val="001C40D1"/>
    <w:rsid w:val="002327DA"/>
    <w:rsid w:val="00233F15"/>
    <w:rsid w:val="002503D7"/>
    <w:rsid w:val="00281594"/>
    <w:rsid w:val="002B65BA"/>
    <w:rsid w:val="00495AB0"/>
    <w:rsid w:val="00571216"/>
    <w:rsid w:val="005A2CD4"/>
    <w:rsid w:val="006244B5"/>
    <w:rsid w:val="00691AC5"/>
    <w:rsid w:val="006A44A7"/>
    <w:rsid w:val="007A618F"/>
    <w:rsid w:val="007D7E28"/>
    <w:rsid w:val="00832359"/>
    <w:rsid w:val="008325DC"/>
    <w:rsid w:val="008420B2"/>
    <w:rsid w:val="008709D0"/>
    <w:rsid w:val="008F4F53"/>
    <w:rsid w:val="0091752E"/>
    <w:rsid w:val="00931F61"/>
    <w:rsid w:val="00940445"/>
    <w:rsid w:val="00972A4B"/>
    <w:rsid w:val="009B1FC9"/>
    <w:rsid w:val="00CF1ECE"/>
    <w:rsid w:val="00D015ED"/>
    <w:rsid w:val="00D01E0C"/>
    <w:rsid w:val="00D22B18"/>
    <w:rsid w:val="00DA6862"/>
    <w:rsid w:val="00DD0858"/>
    <w:rsid w:val="00E303BA"/>
    <w:rsid w:val="00F522C1"/>
    <w:rsid w:val="00F66039"/>
    <w:rsid w:val="00F94CE9"/>
    <w:rsid w:val="00FC45E5"/>
    <w:rsid w:val="00FF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41B2"/>
  <w15:chartTrackingRefBased/>
  <w15:docId w15:val="{08D64B3E-7272-4072-A6D3-48F889BD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7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</dc:creator>
  <cp:keywords/>
  <dc:description/>
  <cp:lastModifiedBy>Начальник отдела</cp:lastModifiedBy>
  <cp:revision>31</cp:revision>
  <cp:lastPrinted>2022-05-23T09:59:00Z</cp:lastPrinted>
  <dcterms:created xsi:type="dcterms:W3CDTF">2022-05-18T08:46:00Z</dcterms:created>
  <dcterms:modified xsi:type="dcterms:W3CDTF">2022-05-23T10:13:00Z</dcterms:modified>
</cp:coreProperties>
</file>