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696DE0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30.12.2020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1050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3B4E1D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3B4E1D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2C0722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2C072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>
            <w:bookmarkStart w:id="0" w:name="_GoBack"/>
            <w:bookmarkEnd w:id="0"/>
          </w:p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», </w:t>
      </w:r>
      <w:r w:rsidR="00331A55">
        <w:rPr>
          <w:rFonts w:cs="Times New Roman"/>
          <w:szCs w:val="28"/>
        </w:rPr>
        <w:t>решением Собрания представителей муниципального района Похвистневский от 14.12.2020 № 15 «О бюджете муниципального района Похвистневский на 2021 год и на</w:t>
      </w:r>
      <w:proofErr w:type="gramEnd"/>
      <w:r w:rsidR="00331A55">
        <w:rPr>
          <w:rFonts w:cs="Times New Roman"/>
          <w:szCs w:val="28"/>
        </w:rPr>
        <w:t xml:space="preserve"> плановый период 2022 и 2023 годов»</w:t>
      </w:r>
      <w:r>
        <w:rPr>
          <w:rFonts w:cs="Times New Roman"/>
          <w:szCs w:val="28"/>
        </w:rPr>
        <w:t>, 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</w:t>
      </w:r>
      <w:r w:rsidR="002C0722">
        <w:rPr>
          <w:rFonts w:cs="Times New Roman"/>
          <w:szCs w:val="28"/>
        </w:rPr>
        <w:t>невский Самарской области на 2021</w:t>
      </w:r>
      <w:r w:rsidRPr="00432864">
        <w:rPr>
          <w:rFonts w:cs="Times New Roman"/>
          <w:szCs w:val="28"/>
        </w:rPr>
        <w:t>-202</w:t>
      </w:r>
      <w:r w:rsidR="002C0722">
        <w:rPr>
          <w:rFonts w:cs="Times New Roman"/>
          <w:szCs w:val="28"/>
        </w:rPr>
        <w:t>5</w:t>
      </w:r>
      <w:r w:rsidRPr="00432864">
        <w:rPr>
          <w:rFonts w:cs="Times New Roman"/>
          <w:szCs w:val="28"/>
        </w:rPr>
        <w:t xml:space="preserve"> годы»</w:t>
      </w:r>
      <w:r>
        <w:rPr>
          <w:rFonts w:cs="Times New Roman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2C0722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>.0</w:t>
      </w:r>
      <w:r w:rsidR="002C072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</w:t>
      </w:r>
      <w:r w:rsidR="002C0722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№ </w:t>
      </w:r>
      <w:r w:rsidR="002C0722">
        <w:rPr>
          <w:rFonts w:cs="Times New Roman"/>
          <w:szCs w:val="28"/>
        </w:rPr>
        <w:t xml:space="preserve">613 </w:t>
      </w:r>
      <w:r w:rsidR="00901511">
        <w:rPr>
          <w:rFonts w:cs="Times New Roman"/>
          <w:szCs w:val="28"/>
        </w:rPr>
        <w:t>следующие изменения:</w:t>
      </w:r>
    </w:p>
    <w:p w:rsidR="00802E2F" w:rsidRDefault="00802E2F" w:rsidP="00802E2F">
      <w:pPr>
        <w:jc w:val="both"/>
        <w:rPr>
          <w:rFonts w:cs="Times New Roman"/>
          <w:b/>
          <w:szCs w:val="28"/>
        </w:rPr>
      </w:pPr>
    </w:p>
    <w:p w:rsidR="004F589A" w:rsidRDefault="00901511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>
        <w:rPr>
          <w:rFonts w:cs="Times New Roman"/>
          <w:szCs w:val="28"/>
        </w:rPr>
        <w:t xml:space="preserve">в Паспорте </w:t>
      </w:r>
      <w:r w:rsidR="00121609">
        <w:rPr>
          <w:rFonts w:cs="Times New Roman"/>
          <w:szCs w:val="28"/>
        </w:rPr>
        <w:t xml:space="preserve">муниципальной программы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</w:t>
      </w:r>
      <w:r w:rsidR="002C0722">
        <w:rPr>
          <w:rFonts w:cs="Times New Roman"/>
          <w:szCs w:val="28"/>
        </w:rPr>
        <w:t>21</w:t>
      </w:r>
      <w:r w:rsidRPr="00432864">
        <w:rPr>
          <w:rFonts w:cs="Times New Roman"/>
          <w:szCs w:val="28"/>
        </w:rPr>
        <w:t>-202</w:t>
      </w:r>
      <w:r w:rsidR="002C0722">
        <w:rPr>
          <w:rFonts w:cs="Times New Roman"/>
          <w:szCs w:val="28"/>
        </w:rPr>
        <w:t>5</w:t>
      </w:r>
      <w:r w:rsidRPr="00432864">
        <w:rPr>
          <w:rFonts w:cs="Times New Roman"/>
          <w:szCs w:val="28"/>
        </w:rPr>
        <w:t xml:space="preserve"> годы»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программы» изложить в новой редакции</w:t>
      </w:r>
      <w:r w:rsidR="00802E2F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7862"/>
      </w:tblGrid>
      <w:tr w:rsidR="00802E2F" w:rsidRPr="0001560F" w:rsidTr="00A5276B">
        <w:tc>
          <w:tcPr>
            <w:tcW w:w="1708" w:type="dxa"/>
            <w:shd w:val="clear" w:color="auto" w:fill="auto"/>
          </w:tcPr>
          <w:p w:rsidR="00802E2F" w:rsidRPr="0001560F" w:rsidRDefault="00802E2F" w:rsidP="005141E0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</w:t>
            </w:r>
            <w:r w:rsidRPr="0001560F">
              <w:rPr>
                <w:rFonts w:cs="Times New Roman"/>
                <w:sz w:val="22"/>
                <w:szCs w:val="22"/>
              </w:rPr>
              <w:lastRenderedPageBreak/>
              <w:t xml:space="preserve">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7862" w:type="dxa"/>
            <w:shd w:val="clear" w:color="auto" w:fill="auto"/>
          </w:tcPr>
          <w:p w:rsidR="00802E2F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lastRenderedPageBreak/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</w:t>
            </w:r>
            <w:r w:rsidRPr="0001560F">
              <w:rPr>
                <w:rFonts w:cs="Times New Roman"/>
                <w:sz w:val="22"/>
                <w:szCs w:val="22"/>
              </w:rPr>
              <w:lastRenderedPageBreak/>
              <w:t xml:space="preserve">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Pr="00AC0E42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2C0722">
              <w:rPr>
                <w:rFonts w:cs="Times New Roman"/>
                <w:sz w:val="22"/>
                <w:szCs w:val="22"/>
              </w:rPr>
              <w:t>24 754,8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ублей, в том числе</w:t>
            </w:r>
            <w:r>
              <w:rPr>
                <w:rFonts w:cs="Times New Roman"/>
                <w:sz w:val="22"/>
                <w:szCs w:val="22"/>
              </w:rPr>
              <w:t>:</w:t>
            </w:r>
            <w:r w:rsidRPr="00AC0E42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802E2F" w:rsidRPr="00AC0E42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2C0722">
              <w:rPr>
                <w:rFonts w:cs="Times New Roman"/>
                <w:sz w:val="22"/>
                <w:szCs w:val="22"/>
              </w:rPr>
              <w:t>2021</w:t>
            </w:r>
            <w:r w:rsidRPr="00AC0E42">
              <w:rPr>
                <w:rFonts w:cs="Times New Roman"/>
                <w:sz w:val="22"/>
                <w:szCs w:val="22"/>
              </w:rPr>
              <w:t xml:space="preserve"> год – </w:t>
            </w:r>
            <w:r w:rsidR="002C0722">
              <w:rPr>
                <w:rFonts w:cs="Times New Roman"/>
                <w:sz w:val="22"/>
                <w:szCs w:val="22"/>
              </w:rPr>
              <w:t>6 953,8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AC0E42">
              <w:rPr>
                <w:rFonts w:cs="Times New Roman"/>
                <w:sz w:val="22"/>
                <w:szCs w:val="22"/>
              </w:rPr>
              <w:t xml:space="preserve">       </w:t>
            </w:r>
            <w:r>
              <w:rPr>
                <w:rFonts w:cs="Times New Roman"/>
                <w:sz w:val="22"/>
                <w:szCs w:val="22"/>
              </w:rPr>
              <w:t xml:space="preserve">           </w:t>
            </w:r>
            <w:r w:rsidR="002C0722">
              <w:rPr>
                <w:rFonts w:cs="Times New Roman"/>
                <w:sz w:val="22"/>
                <w:szCs w:val="22"/>
              </w:rPr>
              <w:t xml:space="preserve"> 2022 год – 4 192,0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2C0722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2023</w:t>
            </w:r>
            <w:r w:rsidR="00802E2F">
              <w:rPr>
                <w:rFonts w:cs="Times New Roman"/>
                <w:sz w:val="22"/>
                <w:szCs w:val="22"/>
              </w:rPr>
              <w:t xml:space="preserve"> год – </w:t>
            </w:r>
            <w:r>
              <w:rPr>
                <w:rFonts w:cs="Times New Roman"/>
                <w:sz w:val="22"/>
                <w:szCs w:val="22"/>
              </w:rPr>
              <w:t>4 360,0</w:t>
            </w:r>
            <w:r w:rsidR="00802E2F"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="00802E2F"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802E2F"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2C0722">
              <w:rPr>
                <w:rFonts w:cs="Times New Roman"/>
                <w:sz w:val="22"/>
                <w:szCs w:val="22"/>
              </w:rPr>
              <w:t>2024 год – 4 534,0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01560F" w:rsidRDefault="00802E2F" w:rsidP="0051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2C0722">
              <w:rPr>
                <w:rFonts w:cs="Times New Roman"/>
                <w:sz w:val="22"/>
                <w:szCs w:val="22"/>
              </w:rPr>
              <w:t>2025 год – 4 715</w:t>
            </w:r>
            <w:r w:rsidR="00216984">
              <w:rPr>
                <w:rFonts w:cs="Times New Roman"/>
                <w:sz w:val="22"/>
                <w:szCs w:val="22"/>
              </w:rPr>
              <w:t>,0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</w:t>
            </w:r>
          </w:p>
        </w:tc>
      </w:tr>
    </w:tbl>
    <w:p w:rsidR="004F589A" w:rsidRDefault="004F589A" w:rsidP="0043715E">
      <w:pPr>
        <w:jc w:val="both"/>
        <w:rPr>
          <w:rFonts w:cs="Times New Roman"/>
          <w:szCs w:val="28"/>
        </w:rPr>
      </w:pPr>
    </w:p>
    <w:p w:rsidR="00A5276B" w:rsidRPr="00A5276B" w:rsidRDefault="00A5276B" w:rsidP="00A5276B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F589A">
        <w:rPr>
          <w:rFonts w:cs="Times New Roman"/>
          <w:szCs w:val="28"/>
        </w:rPr>
        <w:t xml:space="preserve">пункт 4 «Ресурсное обеспечение муниципальной программы» </w:t>
      </w:r>
      <w:r w:rsidR="001A2A35">
        <w:rPr>
          <w:rFonts w:cs="Times New Roman"/>
          <w:szCs w:val="28"/>
        </w:rPr>
        <w:t xml:space="preserve">изложить в новой редакции: </w:t>
      </w:r>
      <w:r w:rsidRPr="00A5276B">
        <w:rPr>
          <w:rFonts w:cs="Times New Roman"/>
          <w:szCs w:val="28"/>
        </w:rPr>
        <w:t xml:space="preserve">Финансирование муниципальной программы осуществляется за счет средств бюджета муниципального района Похвистневский Самарской области </w:t>
      </w:r>
      <w:r w:rsidR="002C0722">
        <w:rPr>
          <w:rFonts w:cs="Times New Roman"/>
          <w:szCs w:val="28"/>
        </w:rPr>
        <w:t>24 754,8</w:t>
      </w:r>
      <w:r w:rsidRPr="00A5276B">
        <w:rPr>
          <w:rFonts w:cs="Times New Roman"/>
          <w:szCs w:val="28"/>
        </w:rPr>
        <w:t xml:space="preserve">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ублей, в том числе: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 xml:space="preserve">       в 20</w:t>
      </w:r>
      <w:r w:rsidR="002C0722">
        <w:rPr>
          <w:rFonts w:cs="Times New Roman"/>
          <w:szCs w:val="28"/>
        </w:rPr>
        <w:t>21</w:t>
      </w:r>
      <w:r w:rsidRPr="00A5276B">
        <w:rPr>
          <w:rFonts w:cs="Times New Roman"/>
          <w:szCs w:val="28"/>
        </w:rPr>
        <w:t xml:space="preserve"> году – </w:t>
      </w:r>
      <w:r w:rsidR="002C0722">
        <w:rPr>
          <w:rFonts w:cs="Times New Roman"/>
          <w:szCs w:val="28"/>
        </w:rPr>
        <w:t>6 953,8</w:t>
      </w:r>
      <w:r w:rsidRPr="00A5276B">
        <w:rPr>
          <w:rFonts w:cs="Times New Roman"/>
          <w:szCs w:val="28"/>
        </w:rPr>
        <w:t xml:space="preserve"> тыс</w:t>
      </w:r>
      <w:proofErr w:type="gramStart"/>
      <w:r w:rsidRPr="00A5276B">
        <w:rPr>
          <w:rFonts w:cs="Times New Roman"/>
          <w:szCs w:val="28"/>
        </w:rPr>
        <w:t>.р</w:t>
      </w:r>
      <w:proofErr w:type="gramEnd"/>
      <w:r w:rsidRPr="00A5276B">
        <w:rPr>
          <w:rFonts w:cs="Times New Roman"/>
          <w:szCs w:val="28"/>
        </w:rPr>
        <w:t>уб.,</w:t>
      </w:r>
    </w:p>
    <w:p w:rsidR="00A5276B" w:rsidRPr="00A5276B" w:rsidRDefault="002C0722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 2022</w:t>
      </w:r>
      <w:r w:rsidR="00A5276B" w:rsidRPr="00A5276B">
        <w:rPr>
          <w:rFonts w:cs="Times New Roman"/>
          <w:szCs w:val="28"/>
        </w:rPr>
        <w:t xml:space="preserve"> году – </w:t>
      </w:r>
      <w:r>
        <w:rPr>
          <w:rFonts w:cs="Times New Roman"/>
          <w:szCs w:val="28"/>
        </w:rPr>
        <w:t>4 192,0</w:t>
      </w:r>
      <w:r w:rsidR="00A5276B" w:rsidRPr="00A5276B">
        <w:rPr>
          <w:rFonts w:cs="Times New Roman"/>
          <w:szCs w:val="28"/>
        </w:rPr>
        <w:t xml:space="preserve"> тыс</w:t>
      </w:r>
      <w:proofErr w:type="gramStart"/>
      <w:r w:rsidR="00A5276B" w:rsidRPr="00A5276B">
        <w:rPr>
          <w:rFonts w:cs="Times New Roman"/>
          <w:szCs w:val="28"/>
        </w:rPr>
        <w:t>.р</w:t>
      </w:r>
      <w:proofErr w:type="gramEnd"/>
      <w:r w:rsidR="00A5276B" w:rsidRPr="00A5276B">
        <w:rPr>
          <w:rFonts w:cs="Times New Roman"/>
          <w:szCs w:val="28"/>
        </w:rPr>
        <w:t>уб.,</w:t>
      </w:r>
    </w:p>
    <w:p w:rsidR="00A5276B" w:rsidRPr="00A5276B" w:rsidRDefault="002C0722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 2023</w:t>
      </w:r>
      <w:r w:rsidR="00A5276B">
        <w:rPr>
          <w:rFonts w:cs="Times New Roman"/>
          <w:szCs w:val="28"/>
        </w:rPr>
        <w:t xml:space="preserve"> году – </w:t>
      </w:r>
      <w:r>
        <w:rPr>
          <w:rFonts w:cs="Times New Roman"/>
          <w:szCs w:val="28"/>
        </w:rPr>
        <w:t>4 360,0</w:t>
      </w:r>
      <w:r w:rsidR="00A5276B" w:rsidRPr="00A5276B">
        <w:rPr>
          <w:rFonts w:cs="Times New Roman"/>
          <w:szCs w:val="28"/>
        </w:rPr>
        <w:t xml:space="preserve"> тыс</w:t>
      </w:r>
      <w:proofErr w:type="gramStart"/>
      <w:r w:rsidR="00A5276B" w:rsidRPr="00A5276B">
        <w:rPr>
          <w:rFonts w:cs="Times New Roman"/>
          <w:szCs w:val="28"/>
        </w:rPr>
        <w:t>.р</w:t>
      </w:r>
      <w:proofErr w:type="gramEnd"/>
      <w:r w:rsidR="00A5276B" w:rsidRPr="00A5276B">
        <w:rPr>
          <w:rFonts w:cs="Times New Roman"/>
          <w:szCs w:val="28"/>
        </w:rPr>
        <w:t>уб.,</w:t>
      </w:r>
    </w:p>
    <w:p w:rsidR="00A5276B" w:rsidRPr="00A5276B" w:rsidRDefault="002C0722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 2024</w:t>
      </w:r>
      <w:r w:rsidR="00216984">
        <w:rPr>
          <w:rFonts w:cs="Times New Roman"/>
          <w:szCs w:val="28"/>
        </w:rPr>
        <w:t xml:space="preserve"> году – 4 </w:t>
      </w:r>
      <w:r>
        <w:rPr>
          <w:rFonts w:cs="Times New Roman"/>
          <w:szCs w:val="28"/>
        </w:rPr>
        <w:t>534</w:t>
      </w:r>
      <w:r w:rsidR="00216984">
        <w:rPr>
          <w:rFonts w:cs="Times New Roman"/>
          <w:szCs w:val="28"/>
        </w:rPr>
        <w:t>,0</w:t>
      </w:r>
      <w:r w:rsidR="00A5276B" w:rsidRPr="00A5276B">
        <w:rPr>
          <w:rFonts w:cs="Times New Roman"/>
          <w:szCs w:val="28"/>
        </w:rPr>
        <w:t xml:space="preserve"> тыс</w:t>
      </w:r>
      <w:proofErr w:type="gramStart"/>
      <w:r w:rsidR="00A5276B" w:rsidRPr="00A5276B">
        <w:rPr>
          <w:rFonts w:cs="Times New Roman"/>
          <w:szCs w:val="28"/>
        </w:rPr>
        <w:t>.р</w:t>
      </w:r>
      <w:proofErr w:type="gramEnd"/>
      <w:r w:rsidR="00A5276B" w:rsidRPr="00A5276B">
        <w:rPr>
          <w:rFonts w:cs="Times New Roman"/>
          <w:szCs w:val="28"/>
        </w:rPr>
        <w:t>уб.,</w:t>
      </w:r>
    </w:p>
    <w:p w:rsidR="00A5276B" w:rsidRDefault="002C0722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в 2025</w:t>
      </w:r>
      <w:r w:rsidR="00216984">
        <w:rPr>
          <w:rFonts w:cs="Times New Roman"/>
          <w:szCs w:val="28"/>
        </w:rPr>
        <w:t xml:space="preserve"> году – 4</w:t>
      </w:r>
      <w:r>
        <w:rPr>
          <w:rFonts w:cs="Times New Roman"/>
          <w:szCs w:val="28"/>
        </w:rPr>
        <w:t> 715,</w:t>
      </w:r>
      <w:r w:rsidR="00216984">
        <w:rPr>
          <w:rFonts w:cs="Times New Roman"/>
          <w:szCs w:val="28"/>
        </w:rPr>
        <w:t>0</w:t>
      </w:r>
      <w:r w:rsidR="00A5276B" w:rsidRPr="00A5276B">
        <w:rPr>
          <w:rFonts w:cs="Times New Roman"/>
          <w:szCs w:val="28"/>
        </w:rPr>
        <w:t xml:space="preserve"> тыс</w:t>
      </w:r>
      <w:proofErr w:type="gramStart"/>
      <w:r w:rsidR="00A5276B" w:rsidRPr="00A5276B">
        <w:rPr>
          <w:rFonts w:cs="Times New Roman"/>
          <w:szCs w:val="28"/>
        </w:rPr>
        <w:t>.р</w:t>
      </w:r>
      <w:proofErr w:type="gramEnd"/>
      <w:r w:rsidR="00A5276B" w:rsidRPr="00A5276B">
        <w:rPr>
          <w:rFonts w:cs="Times New Roman"/>
          <w:szCs w:val="28"/>
        </w:rPr>
        <w:t>уб.»</w:t>
      </w:r>
      <w:r w:rsidR="00A5276B">
        <w:rPr>
          <w:rFonts w:cs="Times New Roman"/>
          <w:szCs w:val="28"/>
        </w:rPr>
        <w:t>.</w:t>
      </w:r>
    </w:p>
    <w:p w:rsidR="00A5276B" w:rsidRPr="00A5276B" w:rsidRDefault="00A5276B" w:rsidP="00A5276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5276B">
        <w:rPr>
          <w:rFonts w:cs="Times New Roman"/>
          <w:szCs w:val="28"/>
        </w:rPr>
        <w:t>Объем финансирования по плану мероприятий муниципальной программы представлены в Приложени</w:t>
      </w:r>
      <w:r w:rsidR="00EE04EB">
        <w:rPr>
          <w:rFonts w:cs="Times New Roman"/>
          <w:szCs w:val="28"/>
        </w:rPr>
        <w:t>и № 3 к муниципальной программе;</w:t>
      </w:r>
    </w:p>
    <w:p w:rsidR="001A2A35" w:rsidRDefault="001A2A35" w:rsidP="001A2A35">
      <w:pPr>
        <w:jc w:val="both"/>
        <w:rPr>
          <w:rFonts w:cs="Times New Roman"/>
          <w:szCs w:val="28"/>
        </w:rPr>
      </w:pPr>
    </w:p>
    <w:p w:rsidR="00596DA2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Cs w:val="28"/>
        </w:rPr>
        <w:t>21</w:t>
      </w:r>
      <w:r w:rsidRPr="0093773D">
        <w:rPr>
          <w:rFonts w:cs="Times New Roman"/>
          <w:szCs w:val="28"/>
        </w:rPr>
        <w:t>-202</w:t>
      </w:r>
      <w:r w:rsidR="000D2D41">
        <w:rPr>
          <w:rFonts w:cs="Times New Roman"/>
          <w:szCs w:val="28"/>
        </w:rPr>
        <w:t>5</w:t>
      </w:r>
      <w:r w:rsidRPr="0093773D">
        <w:rPr>
          <w:rFonts w:cs="Times New Roman"/>
          <w:szCs w:val="28"/>
        </w:rPr>
        <w:t xml:space="preserve"> годы»  </w:t>
      </w:r>
      <w:r w:rsidR="00EE04EB">
        <w:rPr>
          <w:rFonts w:cs="Times New Roman"/>
          <w:szCs w:val="28"/>
        </w:rPr>
        <w:t>изложить в новой редакции;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1140EF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211BA1">
        <w:rPr>
          <w:rFonts w:cs="Times New Roman"/>
          <w:szCs w:val="28"/>
        </w:rPr>
        <w:t>Приложение № 3 «Объем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изложить в новой редакции</w:t>
      </w:r>
      <w:r w:rsidR="00EE04EB">
        <w:rPr>
          <w:rFonts w:cs="Times New Roman"/>
          <w:szCs w:val="28"/>
        </w:rPr>
        <w:t>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802E2F" w:rsidRPr="00EE04EB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4 </w:t>
      </w:r>
      <w:r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Pr="00697C7B">
        <w:rPr>
          <w:rFonts w:cs="Times New Roman"/>
          <w:szCs w:val="28"/>
        </w:rPr>
        <w:t>согласно</w:t>
      </w:r>
      <w:proofErr w:type="gramEnd"/>
      <w:r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редакции;</w:t>
      </w:r>
    </w:p>
    <w:p w:rsidR="00596DA2" w:rsidRDefault="00596DA2" w:rsidP="0043715E">
      <w:pPr>
        <w:jc w:val="both"/>
        <w:rPr>
          <w:rFonts w:cs="Times New Roman"/>
          <w:szCs w:val="28"/>
        </w:rPr>
      </w:pPr>
    </w:p>
    <w:p w:rsidR="00337E32" w:rsidRDefault="008E2129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722B4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№ </w:t>
      </w:r>
      <w:r w:rsidR="004722B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</w:t>
      </w:r>
      <w:r w:rsidRPr="00697C7B">
        <w:rPr>
          <w:rFonts w:cs="Times New Roman"/>
          <w:szCs w:val="28"/>
        </w:rPr>
        <w:t>«</w:t>
      </w:r>
      <w:r w:rsidR="004722B4">
        <w:rPr>
          <w:rFonts w:cs="Times New Roman"/>
          <w:szCs w:val="28"/>
        </w:rPr>
        <w:t xml:space="preserve">Объем финансового обеспечения плана по устранению нарушений </w:t>
      </w:r>
      <w:proofErr w:type="gramStart"/>
      <w:r w:rsidR="004722B4">
        <w:rPr>
          <w:rFonts w:cs="Times New Roman"/>
          <w:szCs w:val="28"/>
        </w:rPr>
        <w:t>согласно</w:t>
      </w:r>
      <w:proofErr w:type="gramEnd"/>
      <w:r w:rsidR="004722B4">
        <w:rPr>
          <w:rFonts w:cs="Times New Roman"/>
          <w:szCs w:val="28"/>
        </w:rPr>
        <w:t xml:space="preserve"> стратегических показателей </w:t>
      </w:r>
      <w:r w:rsidRPr="00697C7B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изложить в новой редакции.</w:t>
      </w:r>
    </w:p>
    <w:p w:rsidR="00EE04EB" w:rsidRPr="00EE04EB" w:rsidRDefault="00EE04EB" w:rsidP="00EE04EB">
      <w:pPr>
        <w:jc w:val="both"/>
        <w:rPr>
          <w:rFonts w:cs="Times New Roman"/>
          <w:szCs w:val="28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lastRenderedPageBreak/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31A55"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C53287">
        <w:rPr>
          <w:rFonts w:eastAsiaTheme="minorHAnsi" w:cs="Times New Roman"/>
          <w:bCs w:val="0"/>
          <w:szCs w:val="28"/>
          <w:lang w:eastAsia="en-US"/>
        </w:rPr>
        <w:t>с 01 января 2021 года.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53287" w:rsidRDefault="00C53287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EE04EB" w:rsidRDefault="00EE04EB" w:rsidP="00177E4E"/>
    <w:p w:rsidR="00EE04EB" w:rsidRDefault="00EE04EB" w:rsidP="00177E4E"/>
    <w:p w:rsidR="00EE04EB" w:rsidRDefault="00EE04EB" w:rsidP="00177E4E"/>
    <w:p w:rsidR="00EE04EB" w:rsidRDefault="00EE04EB" w:rsidP="00177E4E"/>
    <w:p w:rsidR="00EE04EB" w:rsidRDefault="00EE04EB" w:rsidP="00177E4E"/>
    <w:p w:rsidR="00EE04EB" w:rsidRDefault="00EE04EB" w:rsidP="00177E4E"/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D0359F" w:rsidRDefault="00D0359F" w:rsidP="00EE04EB">
      <w:pPr>
        <w:jc w:val="right"/>
        <w:rPr>
          <w:rFonts w:cs="Times New Roman"/>
          <w:sz w:val="22"/>
          <w:szCs w:val="22"/>
        </w:rPr>
      </w:pPr>
    </w:p>
    <w:p w:rsidR="00D0359F" w:rsidRDefault="00D0359F" w:rsidP="00EE04EB">
      <w:pPr>
        <w:jc w:val="right"/>
        <w:rPr>
          <w:rFonts w:cs="Times New Roman"/>
          <w:sz w:val="22"/>
          <w:szCs w:val="22"/>
        </w:rPr>
      </w:pPr>
    </w:p>
    <w:p w:rsidR="00D0359F" w:rsidRDefault="00D0359F" w:rsidP="00EE04EB">
      <w:pPr>
        <w:jc w:val="right"/>
        <w:rPr>
          <w:rFonts w:cs="Times New Roman"/>
          <w:sz w:val="22"/>
          <w:szCs w:val="22"/>
        </w:rPr>
      </w:pPr>
    </w:p>
    <w:p w:rsidR="00D0359F" w:rsidRDefault="00D0359F" w:rsidP="00EE04EB">
      <w:pPr>
        <w:jc w:val="right"/>
        <w:rPr>
          <w:rFonts w:cs="Times New Roman"/>
          <w:sz w:val="22"/>
          <w:szCs w:val="22"/>
        </w:rPr>
      </w:pPr>
    </w:p>
    <w:p w:rsidR="001242AC" w:rsidRDefault="001242AC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 w:val="22"/>
          <w:szCs w:val="22"/>
        </w:rPr>
        <w:t>21-2025</w:t>
      </w:r>
      <w:r w:rsidRPr="0043715E">
        <w:rPr>
          <w:rFonts w:cs="Times New Roman"/>
          <w:sz w:val="22"/>
          <w:szCs w:val="22"/>
        </w:rPr>
        <w:t xml:space="preserve"> годы»  </w:t>
      </w: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600"/>
        <w:gridCol w:w="75"/>
        <w:gridCol w:w="2268"/>
        <w:gridCol w:w="1276"/>
        <w:gridCol w:w="843"/>
        <w:gridCol w:w="8"/>
        <w:gridCol w:w="850"/>
        <w:gridCol w:w="709"/>
        <w:gridCol w:w="709"/>
        <w:gridCol w:w="708"/>
        <w:gridCol w:w="709"/>
        <w:gridCol w:w="709"/>
        <w:gridCol w:w="709"/>
      </w:tblGrid>
      <w:tr w:rsidR="000D2D41" w:rsidTr="000D2D41">
        <w:tc>
          <w:tcPr>
            <w:tcW w:w="600" w:type="dxa"/>
            <w:vMerge w:val="restart"/>
          </w:tcPr>
          <w:p w:rsidR="000D2D41" w:rsidRDefault="000D2D41" w:rsidP="0051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343" w:type="dxa"/>
            <w:gridSpan w:val="2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8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709" w:type="dxa"/>
            <w:vMerge w:val="restart"/>
            <w:textDirection w:val="btLr"/>
          </w:tcPr>
          <w:p w:rsidR="000D2D41" w:rsidRDefault="000D2D41" w:rsidP="000D2D41">
            <w:pPr>
              <w:ind w:left="113" w:right="113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 за период реализации</w:t>
            </w:r>
          </w:p>
        </w:tc>
      </w:tr>
      <w:tr w:rsidR="000D2D41" w:rsidTr="000D2D41"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Отчет 2019</w:t>
            </w:r>
          </w:p>
        </w:tc>
        <w:tc>
          <w:tcPr>
            <w:tcW w:w="850" w:type="dxa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544" w:type="dxa"/>
            <w:gridSpan w:val="5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D2D41" w:rsidTr="000D2D41">
        <w:trPr>
          <w:trHeight w:val="1445"/>
        </w:trPr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D2D41" w:rsidRPr="000D2D41" w:rsidRDefault="000D2D41" w:rsidP="00AA2EA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0514E" w:rsidTr="00AA2EAA">
        <w:tc>
          <w:tcPr>
            <w:tcW w:w="10173" w:type="dxa"/>
            <w:gridSpan w:val="13"/>
          </w:tcPr>
          <w:p w:rsidR="0090514E" w:rsidRPr="0090514E" w:rsidRDefault="0090514E" w:rsidP="0090514E">
            <w:pPr>
              <w:jc w:val="center"/>
              <w:rPr>
                <w:rFonts w:cs="Times New Roman"/>
                <w:b/>
                <w:sz w:val="22"/>
              </w:rPr>
            </w:pPr>
            <w:r w:rsidRPr="0090514E">
              <w:rPr>
                <w:b/>
                <w:sz w:val="22"/>
              </w:rPr>
              <w:t xml:space="preserve">Цель –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деятельности. </w:t>
            </w:r>
          </w:p>
        </w:tc>
      </w:tr>
      <w:tr w:rsidR="0090514E" w:rsidTr="00BC66A1">
        <w:tc>
          <w:tcPr>
            <w:tcW w:w="675" w:type="dxa"/>
            <w:gridSpan w:val="2"/>
          </w:tcPr>
          <w:p w:rsidR="0090514E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98" w:type="dxa"/>
            <w:gridSpan w:val="11"/>
          </w:tcPr>
          <w:p w:rsidR="0090514E" w:rsidRPr="00C35DF3" w:rsidRDefault="0090514E" w:rsidP="0090514E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Задача – Снижение рисков возникновения пожаров в зданиях общеобразовательных учреждений. Реализация требований правовых актов в области обеспечения пожарной безопасности 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деятельности.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8" w:type="dxa"/>
            <w:gridSpan w:val="2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9051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0514E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9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  <w:p w:rsidR="00BC66A1" w:rsidRDefault="00BC66A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592846">
              <w:rPr>
                <w:rFonts w:cs="Times New Roman"/>
                <w:sz w:val="22"/>
              </w:rPr>
              <w:t>косоуров</w:t>
            </w:r>
            <w:proofErr w:type="spellEnd"/>
            <w:r w:rsidRPr="0059284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1.9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BC66A1" w:rsidP="007575C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7575C1"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A5D3B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268" w:type="dxa"/>
          </w:tcPr>
          <w:p w:rsidR="000D2D41" w:rsidRPr="00592846" w:rsidRDefault="000D2D41" w:rsidP="00314EC6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BC66A1" w:rsidP="007575C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7575C1"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7575C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75C1"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Изменение проступи лестничной клетки ведущей на второй этаж </w:t>
            </w:r>
            <w:proofErr w:type="gramStart"/>
            <w:r>
              <w:rPr>
                <w:rFonts w:cs="Times New Roman"/>
                <w:sz w:val="22"/>
              </w:rPr>
              <w:t>тренажерного</w:t>
            </w:r>
            <w:proofErr w:type="gramEnd"/>
            <w:r>
              <w:rPr>
                <w:rFonts w:cs="Times New Roman"/>
                <w:sz w:val="22"/>
              </w:rPr>
              <w:t xml:space="preserve"> помещений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268" w:type="dxa"/>
          </w:tcPr>
          <w:p w:rsidR="000D2D41" w:rsidRDefault="00BC66A1" w:rsidP="00BC66A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BC66A1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575C1" w:rsidTr="00BC66A1">
        <w:tc>
          <w:tcPr>
            <w:tcW w:w="675" w:type="dxa"/>
            <w:gridSpan w:val="2"/>
          </w:tcPr>
          <w:p w:rsidR="007575C1" w:rsidRDefault="007575C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268" w:type="dxa"/>
          </w:tcPr>
          <w:p w:rsidR="007575C1" w:rsidRDefault="007575C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276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</w:tbl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D05F8B" w:rsidRDefault="005141E0" w:rsidP="005141E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D0359F">
        <w:rPr>
          <w:rFonts w:cs="Times New Roman"/>
          <w:sz w:val="24"/>
        </w:rPr>
        <w:t>21</w:t>
      </w:r>
      <w:r>
        <w:rPr>
          <w:rFonts w:cs="Times New Roman"/>
          <w:sz w:val="24"/>
        </w:rPr>
        <w:t>-202</w:t>
      </w:r>
      <w:r w:rsidR="00D0359F">
        <w:rPr>
          <w:rFonts w:cs="Times New Roman"/>
          <w:sz w:val="24"/>
        </w:rPr>
        <w:t>5</w:t>
      </w:r>
      <w:r>
        <w:rPr>
          <w:rFonts w:cs="Times New Roman"/>
          <w:sz w:val="24"/>
        </w:rPr>
        <w:t xml:space="preserve"> годы»</w:t>
      </w: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194"/>
        <w:gridCol w:w="1194"/>
        <w:gridCol w:w="1194"/>
        <w:gridCol w:w="1194"/>
        <w:gridCol w:w="1194"/>
        <w:gridCol w:w="986"/>
      </w:tblGrid>
      <w:tr w:rsidR="005141E0" w:rsidTr="005141E0">
        <w:tc>
          <w:tcPr>
            <w:tcW w:w="562" w:type="dxa"/>
            <w:vMerge w:val="restart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55" w:type="dxa"/>
            <w:vMerge w:val="restart"/>
          </w:tcPr>
          <w:p w:rsidR="005141E0" w:rsidRPr="002C57E8" w:rsidRDefault="005141E0" w:rsidP="005141E0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53" w:type="dxa"/>
            <w:gridSpan w:val="6"/>
          </w:tcPr>
          <w:p w:rsidR="005141E0" w:rsidRPr="002C57E8" w:rsidRDefault="005141E0" w:rsidP="005141E0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141E0" w:rsidTr="005141E0">
        <w:tc>
          <w:tcPr>
            <w:tcW w:w="562" w:type="dxa"/>
            <w:vMerge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</w:p>
        </w:tc>
        <w:tc>
          <w:tcPr>
            <w:tcW w:w="2055" w:type="dxa"/>
            <w:vMerge/>
          </w:tcPr>
          <w:p w:rsidR="005141E0" w:rsidRPr="002C57E8" w:rsidRDefault="005141E0" w:rsidP="005141E0">
            <w:pPr>
              <w:rPr>
                <w:rFonts w:cs="Times New Roman"/>
                <w:sz w:val="22"/>
              </w:rPr>
            </w:pPr>
          </w:p>
        </w:tc>
        <w:tc>
          <w:tcPr>
            <w:tcW w:w="1196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21</w:t>
            </w:r>
          </w:p>
        </w:tc>
        <w:tc>
          <w:tcPr>
            <w:tcW w:w="1196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22</w:t>
            </w:r>
          </w:p>
        </w:tc>
        <w:tc>
          <w:tcPr>
            <w:tcW w:w="1196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3</w:t>
            </w:r>
          </w:p>
        </w:tc>
        <w:tc>
          <w:tcPr>
            <w:tcW w:w="1196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4</w:t>
            </w:r>
          </w:p>
        </w:tc>
        <w:tc>
          <w:tcPr>
            <w:tcW w:w="1196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5</w:t>
            </w:r>
          </w:p>
        </w:tc>
        <w:tc>
          <w:tcPr>
            <w:tcW w:w="973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141E0" w:rsidTr="005141E0">
        <w:tc>
          <w:tcPr>
            <w:tcW w:w="562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55" w:type="dxa"/>
          </w:tcPr>
          <w:p w:rsidR="005141E0" w:rsidRPr="002C57E8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6 953,8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4 360,0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4 534,0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73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24 754,8</w:t>
            </w:r>
          </w:p>
        </w:tc>
      </w:tr>
      <w:tr w:rsidR="005141E0" w:rsidTr="005141E0">
        <w:tc>
          <w:tcPr>
            <w:tcW w:w="562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5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73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5141E0" w:rsidTr="005141E0">
        <w:tc>
          <w:tcPr>
            <w:tcW w:w="562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6 953,8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4 360,0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4 534,0</w:t>
            </w:r>
          </w:p>
        </w:tc>
        <w:tc>
          <w:tcPr>
            <w:tcW w:w="1196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73" w:type="dxa"/>
          </w:tcPr>
          <w:p w:rsidR="005141E0" w:rsidRDefault="00D0359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24 754,8</w:t>
            </w:r>
          </w:p>
        </w:tc>
      </w:tr>
      <w:tr w:rsidR="005141E0" w:rsidTr="005141E0">
        <w:tc>
          <w:tcPr>
            <w:tcW w:w="562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73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43715E" w:rsidRDefault="0043715E" w:rsidP="00177E4E"/>
    <w:p w:rsidR="009C04A1" w:rsidRDefault="009C04A1" w:rsidP="00EE04EB">
      <w:pPr>
        <w:spacing w:after="200" w:line="276" w:lineRule="auto"/>
        <w:jc w:val="center"/>
      </w:pPr>
      <w:r>
        <w:br w:type="page"/>
      </w:r>
    </w:p>
    <w:p w:rsidR="009C04A1" w:rsidRDefault="009C04A1" w:rsidP="00EE04EB">
      <w:pPr>
        <w:spacing w:after="200" w:line="276" w:lineRule="auto"/>
        <w:jc w:val="center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 xml:space="preserve">по устранению нарушений </w:t>
      </w:r>
      <w:proofErr w:type="gramStart"/>
      <w:r>
        <w:rPr>
          <w:rFonts w:cs="Times New Roman"/>
          <w:sz w:val="22"/>
          <w:szCs w:val="22"/>
        </w:rPr>
        <w:t>согласно</w:t>
      </w:r>
      <w:proofErr w:type="gramEnd"/>
      <w:r>
        <w:rPr>
          <w:rFonts w:cs="Times New Roman"/>
          <w:sz w:val="22"/>
          <w:szCs w:val="22"/>
        </w:rPr>
        <w:t xml:space="preserve">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D0359F">
        <w:rPr>
          <w:rFonts w:cs="Times New Roman"/>
          <w:sz w:val="22"/>
          <w:szCs w:val="22"/>
        </w:rPr>
        <w:t>21</w:t>
      </w:r>
      <w:r w:rsidRPr="0043715E">
        <w:rPr>
          <w:rFonts w:cs="Times New Roman"/>
          <w:sz w:val="22"/>
          <w:szCs w:val="22"/>
        </w:rPr>
        <w:t>-202</w:t>
      </w:r>
      <w:r w:rsidR="00D0359F">
        <w:rPr>
          <w:rFonts w:cs="Times New Roman"/>
          <w:sz w:val="22"/>
          <w:szCs w:val="22"/>
        </w:rPr>
        <w:t>5</w:t>
      </w:r>
      <w:r w:rsidRPr="0043715E">
        <w:rPr>
          <w:rFonts w:cs="Times New Roman"/>
          <w:sz w:val="22"/>
          <w:szCs w:val="22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21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7E7E9A" w:rsidRDefault="007E7E9A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 xml:space="preserve">Подбельск </w:t>
            </w:r>
            <w:proofErr w:type="spellStart"/>
            <w:r w:rsidRPr="00276912">
              <w:rPr>
                <w:rFonts w:cs="Times New Roman"/>
                <w:sz w:val="22"/>
              </w:rPr>
              <w:t>шк</w:t>
            </w:r>
            <w:proofErr w:type="spellEnd"/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204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7E7E9A" w:rsidRPr="006A78B1" w:rsidRDefault="007E7E9A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592846">
              <w:rPr>
                <w:rFonts w:cs="Times New Roman"/>
                <w:sz w:val="22"/>
              </w:rPr>
              <w:t>косоуров</w:t>
            </w:r>
            <w:proofErr w:type="spellEnd"/>
            <w:r w:rsidRPr="0059284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141E0" w:rsidTr="005141E0">
        <w:trPr>
          <w:trHeight w:val="1198"/>
        </w:trPr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</w:t>
            </w:r>
            <w:proofErr w:type="gramStart"/>
            <w:r>
              <w:rPr>
                <w:rFonts w:cs="Times New Roman"/>
                <w:sz w:val="22"/>
              </w:rPr>
              <w:t>с</w:t>
            </w:r>
            <w:proofErr w:type="gramEnd"/>
            <w:r>
              <w:rPr>
                <w:rFonts w:cs="Times New Roman"/>
                <w:sz w:val="22"/>
              </w:rPr>
              <w:t>.)</w:t>
            </w:r>
          </w:p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  <w:tc>
          <w:tcPr>
            <w:tcW w:w="2145" w:type="dxa"/>
          </w:tcPr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5141E0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</w:t>
            </w:r>
            <w:r w:rsidR="005141E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D6CA1" w:rsidRDefault="00BD6CA1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5141E0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sz w:val="22"/>
              </w:rPr>
              <w:t xml:space="preserve"> ф-л)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 (д.с.)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B61C73" w:rsidRPr="00592846" w:rsidRDefault="00B61C73" w:rsidP="00B61C7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</w:t>
            </w:r>
            <w:proofErr w:type="gramStart"/>
            <w:r>
              <w:rPr>
                <w:rFonts w:cs="Times New Roman"/>
                <w:sz w:val="22"/>
              </w:rPr>
              <w:t>с</w:t>
            </w:r>
            <w:proofErr w:type="gram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  <w:tc>
          <w:tcPr>
            <w:tcW w:w="2145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</w:tc>
        <w:tc>
          <w:tcPr>
            <w:tcW w:w="2145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054526">
        <w:trPr>
          <w:trHeight w:val="523"/>
        </w:trPr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B61C73" w:rsidP="0005452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1.16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B61C73" w:rsidRPr="00173754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05452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 Мочалеевка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AA2EAA" w:rsidTr="005141E0">
        <w:tc>
          <w:tcPr>
            <w:tcW w:w="601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AA2EAA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</w:p>
        </w:tc>
      </w:tr>
    </w:tbl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9C04A1" w:rsidRDefault="009C04A1" w:rsidP="00337E32">
      <w:pPr>
        <w:jc w:val="right"/>
        <w:rPr>
          <w:sz w:val="22"/>
          <w:szCs w:val="22"/>
        </w:rPr>
      </w:pPr>
    </w:p>
    <w:p w:rsidR="001A5BF1" w:rsidRPr="0098220E" w:rsidRDefault="00C53287" w:rsidP="001A5BF1">
      <w:pPr>
        <w:jc w:val="right"/>
        <w:rPr>
          <w:sz w:val="24"/>
        </w:rPr>
      </w:pPr>
      <w:r>
        <w:rPr>
          <w:sz w:val="24"/>
        </w:rPr>
        <w:lastRenderedPageBreak/>
        <w:t>П</w:t>
      </w:r>
      <w:r w:rsidR="001A5BF1" w:rsidRPr="0098220E">
        <w:rPr>
          <w:sz w:val="24"/>
        </w:rPr>
        <w:t>риложение № 5</w:t>
      </w:r>
    </w:p>
    <w:p w:rsidR="001A5BF1" w:rsidRPr="0098220E" w:rsidRDefault="001A5BF1" w:rsidP="001A5BF1">
      <w:pPr>
        <w:jc w:val="center"/>
        <w:rPr>
          <w:sz w:val="24"/>
        </w:rPr>
      </w:pPr>
    </w:p>
    <w:p w:rsidR="001A5BF1" w:rsidRPr="0098220E" w:rsidRDefault="001A5BF1" w:rsidP="001A5BF1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1A5BF1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1A5BF1" w:rsidRPr="0098220E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</w:t>
      </w:r>
      <w:r w:rsidR="00C53287">
        <w:rPr>
          <w:rFonts w:cs="Times New Roman"/>
          <w:sz w:val="24"/>
        </w:rPr>
        <w:t>21</w:t>
      </w:r>
      <w:r w:rsidRPr="0098220E">
        <w:rPr>
          <w:rFonts w:cs="Times New Roman"/>
          <w:sz w:val="24"/>
        </w:rPr>
        <w:t>-202</w:t>
      </w:r>
      <w:r w:rsidR="00C53287">
        <w:rPr>
          <w:rFonts w:cs="Times New Roman"/>
          <w:sz w:val="24"/>
        </w:rPr>
        <w:t>5</w:t>
      </w:r>
      <w:r w:rsidRPr="0098220E">
        <w:rPr>
          <w:rFonts w:cs="Times New Roman"/>
          <w:sz w:val="24"/>
        </w:rPr>
        <w:t xml:space="preserve"> годы»</w:t>
      </w:r>
    </w:p>
    <w:p w:rsidR="001A5BF1" w:rsidRDefault="001A5BF1" w:rsidP="001A5BF1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21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1A5BF1" w:rsidRPr="001A5BF1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100 000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</w:t>
            </w:r>
            <w:r w:rsidR="006B39FD">
              <w:rPr>
                <w:rFonts w:cs="Times New Roman"/>
                <w:color w:val="000000" w:themeColor="text1"/>
                <w:sz w:val="22"/>
              </w:rPr>
              <w:t>00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1A5BF1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C5328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C53287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100 000</w:t>
            </w:r>
            <w:r w:rsidRPr="001A5BF1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100 000</w:t>
            </w:r>
            <w:r w:rsidRPr="001A5BF1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100 0</w:t>
            </w:r>
            <w:r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1A5BF1" w:rsidRDefault="00C53287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  <w:r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  <w:r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0A7490">
        <w:trPr>
          <w:trHeight w:val="1144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rPr>
          <w:trHeight w:val="1316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F34506">
              <w:rPr>
                <w:rFonts w:cs="Times New Roman"/>
                <w:sz w:val="22"/>
              </w:rPr>
              <w:t>косоуров</w:t>
            </w:r>
            <w:proofErr w:type="spellEnd"/>
            <w:r w:rsidRPr="00F3450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331A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F3450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F3450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0A7490">
        <w:trPr>
          <w:trHeight w:val="1095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rPr>
          <w:trHeight w:val="1198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3 600 000,00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2 252 000,00 </w:t>
            </w:r>
          </w:p>
        </w:tc>
        <w:tc>
          <w:tcPr>
            <w:tcW w:w="2145" w:type="dxa"/>
          </w:tcPr>
          <w:p w:rsidR="00C53287" w:rsidRPr="00F34506" w:rsidRDefault="000A7490" w:rsidP="00F6344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</w:t>
            </w:r>
            <w:r w:rsidR="00F63447">
              <w:rPr>
                <w:rFonts w:cs="Times New Roman"/>
                <w:sz w:val="22"/>
              </w:rPr>
              <w:t>452</w:t>
            </w:r>
            <w:r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1 822</w:t>
            </w:r>
            <w:r w:rsidR="000A7490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0A7490" w:rsidP="00F6344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</w:t>
            </w:r>
            <w:r w:rsidR="00F63447">
              <w:rPr>
                <w:rFonts w:cs="Times New Roman"/>
                <w:sz w:val="22"/>
              </w:rPr>
              <w:t>920</w:t>
            </w:r>
            <w:r>
              <w:rPr>
                <w:rFonts w:cs="Times New Roman"/>
                <w:sz w:val="22"/>
              </w:rPr>
              <w:t>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1 093 800,00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>0 000,00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проектно-сметной документации на монтаж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C53287"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0A7490" w:rsidRPr="00F34506" w:rsidRDefault="000A7490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970FE5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490">
              <w:rPr>
                <w:rFonts w:cs="Times New Roman"/>
                <w:sz w:val="22"/>
              </w:rPr>
              <w:t>00</w:t>
            </w:r>
            <w:r w:rsidRPr="00970FE5">
              <w:rPr>
                <w:rFonts w:cs="Times New Roman"/>
                <w:sz w:val="22"/>
              </w:rPr>
              <w:t> </w:t>
            </w:r>
            <w:r w:rsidR="000A7490">
              <w:rPr>
                <w:rFonts w:cs="Times New Roman"/>
                <w:sz w:val="22"/>
              </w:rPr>
              <w:t>0</w:t>
            </w:r>
            <w:r w:rsidRPr="00970FE5">
              <w:rPr>
                <w:rFonts w:cs="Times New Roman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490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400 00</w:t>
            </w:r>
            <w:r w:rsidR="00C53287"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1.21</w:t>
            </w:r>
          </w:p>
        </w:tc>
        <w:tc>
          <w:tcPr>
            <w:tcW w:w="2565" w:type="dxa"/>
          </w:tcPr>
          <w:p w:rsidR="00C53287" w:rsidRPr="00F34506" w:rsidRDefault="000A7490" w:rsidP="006F08ED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C53287" w:rsidRPr="00F34506" w:rsidRDefault="000A7490" w:rsidP="000A749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C5328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C53287" w:rsidRDefault="000A7490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F63447" w:rsidRPr="00F34506" w:rsidTr="002C0722">
        <w:tc>
          <w:tcPr>
            <w:tcW w:w="601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F63447" w:rsidRDefault="00F6344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</w:tbl>
    <w:p w:rsidR="001A5BF1" w:rsidRPr="00F34506" w:rsidRDefault="001A5BF1" w:rsidP="001A5BF1">
      <w:pPr>
        <w:rPr>
          <w:sz w:val="22"/>
          <w:szCs w:val="22"/>
        </w:rPr>
      </w:pPr>
    </w:p>
    <w:p w:rsidR="001A5BF1" w:rsidRPr="00F34506" w:rsidRDefault="001A5BF1" w:rsidP="00337E32">
      <w:pPr>
        <w:jc w:val="right"/>
        <w:rPr>
          <w:sz w:val="22"/>
          <w:szCs w:val="22"/>
        </w:rPr>
      </w:pPr>
    </w:p>
    <w:sectPr w:rsidR="001A5BF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E1D" w:rsidRDefault="003B4E1D" w:rsidP="00A05E66">
      <w:r>
        <w:separator/>
      </w:r>
    </w:p>
  </w:endnote>
  <w:endnote w:type="continuationSeparator" w:id="0">
    <w:p w:rsidR="003B4E1D" w:rsidRDefault="003B4E1D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E1D" w:rsidRDefault="003B4E1D" w:rsidP="00A05E66">
      <w:r>
        <w:separator/>
      </w:r>
    </w:p>
  </w:footnote>
  <w:footnote w:type="continuationSeparator" w:id="0">
    <w:p w:rsidR="003B4E1D" w:rsidRDefault="003B4E1D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54526"/>
    <w:rsid w:val="000754B6"/>
    <w:rsid w:val="0009177F"/>
    <w:rsid w:val="00096E9F"/>
    <w:rsid w:val="000A08AF"/>
    <w:rsid w:val="000A7490"/>
    <w:rsid w:val="000C20E6"/>
    <w:rsid w:val="000D2D41"/>
    <w:rsid w:val="000E7196"/>
    <w:rsid w:val="000F6FCD"/>
    <w:rsid w:val="00100650"/>
    <w:rsid w:val="00103DF6"/>
    <w:rsid w:val="00107FC3"/>
    <w:rsid w:val="001111E4"/>
    <w:rsid w:val="001140EF"/>
    <w:rsid w:val="00121609"/>
    <w:rsid w:val="001237E9"/>
    <w:rsid w:val="001242AC"/>
    <w:rsid w:val="001362AC"/>
    <w:rsid w:val="001376D5"/>
    <w:rsid w:val="0016013E"/>
    <w:rsid w:val="00162C9F"/>
    <w:rsid w:val="001645FB"/>
    <w:rsid w:val="00166D9E"/>
    <w:rsid w:val="00177E4E"/>
    <w:rsid w:val="001A2A35"/>
    <w:rsid w:val="001A5BF1"/>
    <w:rsid w:val="001A6AA9"/>
    <w:rsid w:val="001A7F2B"/>
    <w:rsid w:val="001D65B3"/>
    <w:rsid w:val="0020125F"/>
    <w:rsid w:val="00204619"/>
    <w:rsid w:val="00211BA1"/>
    <w:rsid w:val="00216984"/>
    <w:rsid w:val="00241932"/>
    <w:rsid w:val="00242861"/>
    <w:rsid w:val="00270352"/>
    <w:rsid w:val="00276912"/>
    <w:rsid w:val="00283E29"/>
    <w:rsid w:val="002A6E31"/>
    <w:rsid w:val="002A73E2"/>
    <w:rsid w:val="002A7D8F"/>
    <w:rsid w:val="002B10B6"/>
    <w:rsid w:val="002B1C7E"/>
    <w:rsid w:val="002C0722"/>
    <w:rsid w:val="002D2EC6"/>
    <w:rsid w:val="002E0C57"/>
    <w:rsid w:val="002E4A99"/>
    <w:rsid w:val="0031313D"/>
    <w:rsid w:val="00314EC6"/>
    <w:rsid w:val="00317055"/>
    <w:rsid w:val="00320985"/>
    <w:rsid w:val="0032400A"/>
    <w:rsid w:val="00331A55"/>
    <w:rsid w:val="00337E32"/>
    <w:rsid w:val="00341A9B"/>
    <w:rsid w:val="00364032"/>
    <w:rsid w:val="003672E7"/>
    <w:rsid w:val="003720B0"/>
    <w:rsid w:val="00380F9B"/>
    <w:rsid w:val="003A2A18"/>
    <w:rsid w:val="003B1A26"/>
    <w:rsid w:val="003B4E1D"/>
    <w:rsid w:val="003C11E2"/>
    <w:rsid w:val="003D1C32"/>
    <w:rsid w:val="003E5166"/>
    <w:rsid w:val="003F2192"/>
    <w:rsid w:val="003F4560"/>
    <w:rsid w:val="003F60A8"/>
    <w:rsid w:val="004078A7"/>
    <w:rsid w:val="00415400"/>
    <w:rsid w:val="004339D1"/>
    <w:rsid w:val="00433CB6"/>
    <w:rsid w:val="0043715E"/>
    <w:rsid w:val="004409A2"/>
    <w:rsid w:val="004414DD"/>
    <w:rsid w:val="00453BCC"/>
    <w:rsid w:val="00461797"/>
    <w:rsid w:val="00463AEC"/>
    <w:rsid w:val="004722B4"/>
    <w:rsid w:val="004A00E8"/>
    <w:rsid w:val="004B3113"/>
    <w:rsid w:val="004E6821"/>
    <w:rsid w:val="004F589A"/>
    <w:rsid w:val="004F755D"/>
    <w:rsid w:val="005042E0"/>
    <w:rsid w:val="005141E0"/>
    <w:rsid w:val="00531DB0"/>
    <w:rsid w:val="00541D1A"/>
    <w:rsid w:val="00567A10"/>
    <w:rsid w:val="00567CDE"/>
    <w:rsid w:val="005776EC"/>
    <w:rsid w:val="00581155"/>
    <w:rsid w:val="005861E6"/>
    <w:rsid w:val="00592846"/>
    <w:rsid w:val="00593716"/>
    <w:rsid w:val="00596DA2"/>
    <w:rsid w:val="005A0A0A"/>
    <w:rsid w:val="005A17ED"/>
    <w:rsid w:val="005C370C"/>
    <w:rsid w:val="005D2AD2"/>
    <w:rsid w:val="005D75F7"/>
    <w:rsid w:val="005E0F9C"/>
    <w:rsid w:val="005E35C5"/>
    <w:rsid w:val="005E6532"/>
    <w:rsid w:val="00601D4E"/>
    <w:rsid w:val="006268AE"/>
    <w:rsid w:val="006308B5"/>
    <w:rsid w:val="0063154D"/>
    <w:rsid w:val="006424C2"/>
    <w:rsid w:val="00642F54"/>
    <w:rsid w:val="00647951"/>
    <w:rsid w:val="006523FB"/>
    <w:rsid w:val="00655F6F"/>
    <w:rsid w:val="00686A40"/>
    <w:rsid w:val="006911CA"/>
    <w:rsid w:val="00696DE0"/>
    <w:rsid w:val="00697C7B"/>
    <w:rsid w:val="006A74A8"/>
    <w:rsid w:val="006A78B1"/>
    <w:rsid w:val="006B3814"/>
    <w:rsid w:val="006B39FD"/>
    <w:rsid w:val="006B5ADD"/>
    <w:rsid w:val="006C6699"/>
    <w:rsid w:val="006F08ED"/>
    <w:rsid w:val="006F52FD"/>
    <w:rsid w:val="0070573F"/>
    <w:rsid w:val="00736702"/>
    <w:rsid w:val="00752867"/>
    <w:rsid w:val="007575C1"/>
    <w:rsid w:val="007A3EB5"/>
    <w:rsid w:val="007A5D3B"/>
    <w:rsid w:val="007B7F39"/>
    <w:rsid w:val="007D2898"/>
    <w:rsid w:val="007E7E9A"/>
    <w:rsid w:val="00801687"/>
    <w:rsid w:val="00802E2F"/>
    <w:rsid w:val="0080405F"/>
    <w:rsid w:val="00805B6D"/>
    <w:rsid w:val="00815004"/>
    <w:rsid w:val="008203DD"/>
    <w:rsid w:val="0085379F"/>
    <w:rsid w:val="00881914"/>
    <w:rsid w:val="008848D9"/>
    <w:rsid w:val="008B7A74"/>
    <w:rsid w:val="008C1853"/>
    <w:rsid w:val="008C4D76"/>
    <w:rsid w:val="008E1D51"/>
    <w:rsid w:val="008E2129"/>
    <w:rsid w:val="00901511"/>
    <w:rsid w:val="0090514E"/>
    <w:rsid w:val="0091547C"/>
    <w:rsid w:val="0091746F"/>
    <w:rsid w:val="0093773D"/>
    <w:rsid w:val="00950F6C"/>
    <w:rsid w:val="00970FE5"/>
    <w:rsid w:val="00977FC3"/>
    <w:rsid w:val="0098220E"/>
    <w:rsid w:val="009867A0"/>
    <w:rsid w:val="009B2E0D"/>
    <w:rsid w:val="009C04A1"/>
    <w:rsid w:val="009C7AFE"/>
    <w:rsid w:val="009D5C6A"/>
    <w:rsid w:val="009E585D"/>
    <w:rsid w:val="009E6622"/>
    <w:rsid w:val="009F2F4C"/>
    <w:rsid w:val="00A05E66"/>
    <w:rsid w:val="00A3350C"/>
    <w:rsid w:val="00A35FF5"/>
    <w:rsid w:val="00A45DBB"/>
    <w:rsid w:val="00A5276B"/>
    <w:rsid w:val="00A53107"/>
    <w:rsid w:val="00A74207"/>
    <w:rsid w:val="00A95CC7"/>
    <w:rsid w:val="00AA2EAA"/>
    <w:rsid w:val="00AC0E42"/>
    <w:rsid w:val="00AC1009"/>
    <w:rsid w:val="00AF1941"/>
    <w:rsid w:val="00AF1A2D"/>
    <w:rsid w:val="00B01858"/>
    <w:rsid w:val="00B37E3A"/>
    <w:rsid w:val="00B436D0"/>
    <w:rsid w:val="00B61C73"/>
    <w:rsid w:val="00B93220"/>
    <w:rsid w:val="00BA2D5F"/>
    <w:rsid w:val="00BC66A1"/>
    <w:rsid w:val="00BD11C9"/>
    <w:rsid w:val="00BD6CA1"/>
    <w:rsid w:val="00C002F0"/>
    <w:rsid w:val="00C03F64"/>
    <w:rsid w:val="00C11CE3"/>
    <w:rsid w:val="00C35DF3"/>
    <w:rsid w:val="00C47D4A"/>
    <w:rsid w:val="00C53287"/>
    <w:rsid w:val="00C56CF6"/>
    <w:rsid w:val="00C82AD1"/>
    <w:rsid w:val="00C83F26"/>
    <w:rsid w:val="00C92B0C"/>
    <w:rsid w:val="00C92D5A"/>
    <w:rsid w:val="00C95297"/>
    <w:rsid w:val="00CA16F0"/>
    <w:rsid w:val="00CB7068"/>
    <w:rsid w:val="00CE23C9"/>
    <w:rsid w:val="00CF081A"/>
    <w:rsid w:val="00D0359F"/>
    <w:rsid w:val="00D03626"/>
    <w:rsid w:val="00D04735"/>
    <w:rsid w:val="00D274B1"/>
    <w:rsid w:val="00D42526"/>
    <w:rsid w:val="00D67B7E"/>
    <w:rsid w:val="00D91962"/>
    <w:rsid w:val="00D95199"/>
    <w:rsid w:val="00DA6A8A"/>
    <w:rsid w:val="00DA7008"/>
    <w:rsid w:val="00DC0658"/>
    <w:rsid w:val="00DC79B3"/>
    <w:rsid w:val="00DE75E2"/>
    <w:rsid w:val="00DF63E8"/>
    <w:rsid w:val="00E12FB3"/>
    <w:rsid w:val="00E30E0C"/>
    <w:rsid w:val="00E319DF"/>
    <w:rsid w:val="00E4349E"/>
    <w:rsid w:val="00E44B32"/>
    <w:rsid w:val="00E514A6"/>
    <w:rsid w:val="00E55D39"/>
    <w:rsid w:val="00E61B24"/>
    <w:rsid w:val="00E6688E"/>
    <w:rsid w:val="00E76A10"/>
    <w:rsid w:val="00E7754D"/>
    <w:rsid w:val="00E96686"/>
    <w:rsid w:val="00EA21D1"/>
    <w:rsid w:val="00EB2877"/>
    <w:rsid w:val="00EE04EB"/>
    <w:rsid w:val="00EE0826"/>
    <w:rsid w:val="00EF3CC8"/>
    <w:rsid w:val="00F10509"/>
    <w:rsid w:val="00F10D53"/>
    <w:rsid w:val="00F324D5"/>
    <w:rsid w:val="00F33CB8"/>
    <w:rsid w:val="00F34506"/>
    <w:rsid w:val="00F56B9A"/>
    <w:rsid w:val="00F63447"/>
    <w:rsid w:val="00F679F0"/>
    <w:rsid w:val="00F72B9D"/>
    <w:rsid w:val="00F87F51"/>
    <w:rsid w:val="00F9213C"/>
    <w:rsid w:val="00F952C2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12</Pages>
  <Words>2470</Words>
  <Characters>14084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94</cp:revision>
  <cp:lastPrinted>2021-02-09T06:55:00Z</cp:lastPrinted>
  <dcterms:created xsi:type="dcterms:W3CDTF">2016-01-25T12:08:00Z</dcterms:created>
  <dcterms:modified xsi:type="dcterms:W3CDTF">2021-02-10T06:29:00Z</dcterms:modified>
</cp:coreProperties>
</file>