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576F05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 xml:space="preserve">31.12.2019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1015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576F05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576F05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2018-2022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  <w:proofErr w:type="gramEnd"/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(с изменениями от 29.12.2017 № 1124</w:t>
      </w:r>
      <w:r w:rsidR="00F33CB8">
        <w:rPr>
          <w:rFonts w:cs="Times New Roman"/>
          <w:szCs w:val="28"/>
        </w:rPr>
        <w:t>, от 29.12.2018 № 1118, от 09.07.2019 № 460</w:t>
      </w:r>
      <w:r w:rsidR="00901511">
        <w:rPr>
          <w:rFonts w:cs="Times New Roman"/>
          <w:szCs w:val="28"/>
        </w:rPr>
        <w:t xml:space="preserve">, от 10.10.2019 № </w:t>
      </w:r>
      <w:r w:rsidR="00DA6A8A">
        <w:rPr>
          <w:rFonts w:cs="Times New Roman"/>
          <w:szCs w:val="28"/>
        </w:rPr>
        <w:t>697</w:t>
      </w:r>
      <w:r>
        <w:rPr>
          <w:rFonts w:cs="Times New Roman"/>
          <w:szCs w:val="28"/>
        </w:rPr>
        <w:t>)</w:t>
      </w:r>
      <w:r w:rsidR="00901511">
        <w:rPr>
          <w:rFonts w:cs="Times New Roman"/>
          <w:szCs w:val="28"/>
        </w:rPr>
        <w:t xml:space="preserve"> следующие изменения:</w:t>
      </w:r>
      <w:proofErr w:type="gramEnd"/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4F589A" w:rsidRDefault="00901511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>
        <w:rPr>
          <w:rFonts w:cs="Times New Roman"/>
          <w:szCs w:val="28"/>
        </w:rPr>
        <w:t xml:space="preserve">в Паспорте </w:t>
      </w:r>
      <w:r w:rsidR="00121609">
        <w:rPr>
          <w:rFonts w:cs="Times New Roman"/>
          <w:szCs w:val="28"/>
        </w:rPr>
        <w:t xml:space="preserve">муниципальной программы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программы» изложить в новой редакции</w:t>
      </w:r>
      <w:r w:rsidR="00802E2F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p w:rsidR="00576F05" w:rsidRDefault="00576F05" w:rsidP="00802E2F">
      <w:pPr>
        <w:jc w:val="both"/>
        <w:rPr>
          <w:rFonts w:cs="Times New Roman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6549"/>
      </w:tblGrid>
      <w:tr w:rsidR="00802E2F" w:rsidRPr="0001560F" w:rsidTr="00165A3B">
        <w:tc>
          <w:tcPr>
            <w:tcW w:w="3021" w:type="dxa"/>
            <w:shd w:val="clear" w:color="auto" w:fill="auto"/>
          </w:tcPr>
          <w:p w:rsidR="00802E2F" w:rsidRPr="0001560F" w:rsidRDefault="00802E2F" w:rsidP="00165A3B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802E2F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>
              <w:rPr>
                <w:rFonts w:cs="Times New Roman"/>
                <w:sz w:val="22"/>
                <w:szCs w:val="22"/>
              </w:rPr>
              <w:t>17 708,4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ублей, в том числе</w:t>
            </w:r>
            <w:r>
              <w:rPr>
                <w:rFonts w:cs="Times New Roman"/>
                <w:sz w:val="22"/>
                <w:szCs w:val="22"/>
              </w:rPr>
              <w:t>:</w:t>
            </w:r>
            <w:r w:rsidRPr="00AC0E4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2018 год – 2 629,8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AC0E42">
              <w:rPr>
                <w:rFonts w:cs="Times New Roman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sz w:val="22"/>
                <w:szCs w:val="22"/>
              </w:rPr>
              <w:t xml:space="preserve">           </w:t>
            </w:r>
            <w:r w:rsidRPr="00AC0E42">
              <w:rPr>
                <w:rFonts w:cs="Times New Roman"/>
                <w:sz w:val="22"/>
                <w:szCs w:val="22"/>
              </w:rPr>
              <w:t xml:space="preserve"> 2019 год – </w:t>
            </w:r>
            <w:r>
              <w:rPr>
                <w:rFonts w:cs="Times New Roman"/>
                <w:sz w:val="22"/>
                <w:szCs w:val="22"/>
              </w:rPr>
              <w:t>3 332,8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2020 год – 4 200,0</w:t>
            </w:r>
            <w:r w:rsidRPr="00AC0E42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AC0E42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2021 год – 3 353,8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802E2F" w:rsidRPr="0001560F" w:rsidRDefault="00802E2F" w:rsidP="00165A3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2022 год – 4 192,0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</w:t>
            </w:r>
          </w:p>
        </w:tc>
      </w:tr>
    </w:tbl>
    <w:p w:rsidR="004F589A" w:rsidRDefault="004F589A" w:rsidP="0043715E">
      <w:pPr>
        <w:jc w:val="both"/>
        <w:rPr>
          <w:rFonts w:cs="Times New Roman"/>
          <w:szCs w:val="28"/>
        </w:rPr>
      </w:pPr>
    </w:p>
    <w:p w:rsidR="004F589A" w:rsidRDefault="004F589A" w:rsidP="004F589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 в пункте 4 «Ресурсное обеспечение муниципальной программы» слова «Финансирование муниципальной программы осуществляется за счет средств муниципального района Похвистневский Самарской области 16 492,6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ублей» заменить словами «</w:t>
      </w:r>
      <w:r w:rsidR="001A2A35">
        <w:rPr>
          <w:rFonts w:cs="Times New Roman"/>
          <w:szCs w:val="28"/>
        </w:rPr>
        <w:t>Финансирование муниципальной программы осуществляется за счет средств муниципального района Похвистневский Сама</w:t>
      </w:r>
      <w:r w:rsidR="001111E4">
        <w:rPr>
          <w:rFonts w:cs="Times New Roman"/>
          <w:szCs w:val="28"/>
        </w:rPr>
        <w:t>рской области и составляет 17 708</w:t>
      </w:r>
      <w:r w:rsidR="001A2A35">
        <w:rPr>
          <w:rFonts w:cs="Times New Roman"/>
          <w:szCs w:val="28"/>
        </w:rPr>
        <w:t>,4 тыс.рублей</w:t>
      </w:r>
      <w:r>
        <w:rPr>
          <w:rFonts w:cs="Times New Roman"/>
          <w:szCs w:val="28"/>
        </w:rPr>
        <w:t xml:space="preserve">»; </w:t>
      </w:r>
    </w:p>
    <w:p w:rsidR="001A2A35" w:rsidRDefault="001A2A35" w:rsidP="004F589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F589A">
        <w:rPr>
          <w:rFonts w:cs="Times New Roman"/>
          <w:szCs w:val="28"/>
        </w:rPr>
        <w:t xml:space="preserve">пункт </w:t>
      </w:r>
      <w:r>
        <w:rPr>
          <w:rFonts w:cs="Times New Roman"/>
          <w:szCs w:val="28"/>
        </w:rPr>
        <w:t xml:space="preserve">в </w:t>
      </w:r>
      <w:r w:rsidR="004F589A">
        <w:rPr>
          <w:rFonts w:cs="Times New Roman"/>
          <w:szCs w:val="28"/>
        </w:rPr>
        <w:t>2019 год</w:t>
      </w:r>
      <w:r>
        <w:rPr>
          <w:rFonts w:cs="Times New Roman"/>
          <w:szCs w:val="28"/>
        </w:rPr>
        <w:t>у</w:t>
      </w:r>
      <w:r w:rsidR="004F589A">
        <w:rPr>
          <w:rFonts w:cs="Times New Roman"/>
          <w:szCs w:val="28"/>
        </w:rPr>
        <w:t xml:space="preserve"> изложить в новой редакции: </w:t>
      </w:r>
    </w:p>
    <w:p w:rsidR="001A2A35" w:rsidRDefault="001A2A35" w:rsidP="004F589A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2019 году – 3 332,8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1A2A35" w:rsidRDefault="001A2A35" w:rsidP="001A2A3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в 2020 году изложить в новой редакции: </w:t>
      </w:r>
    </w:p>
    <w:p w:rsidR="001A2A35" w:rsidRDefault="001A2A35" w:rsidP="001A2A3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2020 году – 4 200,0</w:t>
      </w:r>
      <w:r w:rsidR="005A17ED">
        <w:rPr>
          <w:rFonts w:cs="Times New Roman"/>
          <w:szCs w:val="28"/>
        </w:rPr>
        <w:t xml:space="preserve"> тыс</w:t>
      </w:r>
      <w:proofErr w:type="gramStart"/>
      <w:r w:rsidR="005A17ED">
        <w:rPr>
          <w:rFonts w:cs="Times New Roman"/>
          <w:szCs w:val="28"/>
        </w:rPr>
        <w:t>.р</w:t>
      </w:r>
      <w:proofErr w:type="gramEnd"/>
      <w:r w:rsidR="005A17ED">
        <w:rPr>
          <w:rFonts w:cs="Times New Roman"/>
          <w:szCs w:val="28"/>
        </w:rPr>
        <w:t>уб.;</w:t>
      </w:r>
    </w:p>
    <w:p w:rsidR="001140EF" w:rsidRDefault="001140EF" w:rsidP="001A2A35">
      <w:pPr>
        <w:jc w:val="both"/>
        <w:rPr>
          <w:rFonts w:cs="Times New Roman"/>
          <w:szCs w:val="28"/>
        </w:rPr>
      </w:pPr>
    </w:p>
    <w:p w:rsidR="001140EF" w:rsidRDefault="001140EF" w:rsidP="001140E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1.8</w:t>
      </w:r>
      <w:r w:rsidRPr="001140EF">
        <w:rPr>
          <w:rFonts w:cs="Times New Roman"/>
          <w:sz w:val="22"/>
        </w:rPr>
        <w:t xml:space="preserve"> </w:t>
      </w:r>
      <w:r w:rsidRPr="001140EF">
        <w:rPr>
          <w:rFonts w:cs="Times New Roman"/>
          <w:szCs w:val="28"/>
        </w:rPr>
        <w:t>«Монтаж электросветильников закрытыми колпаками (рассеивателями)»</w:t>
      </w:r>
      <w:r>
        <w:rPr>
          <w:rFonts w:cs="Times New Roman"/>
          <w:szCs w:val="28"/>
        </w:rPr>
        <w:t xml:space="preserve"> Приложения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4"/>
        <w:gridCol w:w="2222"/>
        <w:gridCol w:w="1177"/>
        <w:gridCol w:w="1079"/>
        <w:gridCol w:w="1079"/>
        <w:gridCol w:w="1079"/>
        <w:gridCol w:w="1080"/>
        <w:gridCol w:w="1080"/>
      </w:tblGrid>
      <w:tr w:rsidR="001140EF" w:rsidTr="00BF119C">
        <w:tc>
          <w:tcPr>
            <w:tcW w:w="817" w:type="dxa"/>
            <w:vAlign w:val="center"/>
          </w:tcPr>
          <w:p w:rsidR="001140EF" w:rsidRPr="00697C7B" w:rsidRDefault="001140EF" w:rsidP="001140EF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1575" w:type="dxa"/>
          </w:tcPr>
          <w:p w:rsidR="001140EF" w:rsidRDefault="001140EF" w:rsidP="00BF119C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97" w:type="dxa"/>
            <w:vAlign w:val="center"/>
          </w:tcPr>
          <w:p w:rsidR="001140EF" w:rsidRPr="00697C7B" w:rsidRDefault="0085379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1140EF" w:rsidRDefault="001140EF" w:rsidP="001A2A35">
      <w:pPr>
        <w:jc w:val="both"/>
        <w:rPr>
          <w:rFonts w:cs="Times New Roman"/>
          <w:szCs w:val="28"/>
        </w:rPr>
      </w:pPr>
    </w:p>
    <w:p w:rsidR="001140EF" w:rsidRDefault="001140EF" w:rsidP="0093773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</w:t>
      </w:r>
      <w:r w:rsidR="008E2129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 xml:space="preserve"> «Замена системы АПС» Приложения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575"/>
        <w:gridCol w:w="1196"/>
        <w:gridCol w:w="1196"/>
        <w:gridCol w:w="1196"/>
        <w:gridCol w:w="1196"/>
        <w:gridCol w:w="1197"/>
        <w:gridCol w:w="1197"/>
      </w:tblGrid>
      <w:tr w:rsidR="001140EF" w:rsidTr="00BF119C">
        <w:tc>
          <w:tcPr>
            <w:tcW w:w="817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8E2129">
              <w:rPr>
                <w:rFonts w:cs="Times New Roman"/>
                <w:sz w:val="22"/>
              </w:rPr>
              <w:t>10</w:t>
            </w:r>
          </w:p>
        </w:tc>
        <w:tc>
          <w:tcPr>
            <w:tcW w:w="1575" w:type="dxa"/>
          </w:tcPr>
          <w:p w:rsidR="001140EF" w:rsidRDefault="001140EF" w:rsidP="001140EF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196" w:type="dxa"/>
            <w:vAlign w:val="center"/>
          </w:tcPr>
          <w:p w:rsidR="001140EF" w:rsidRPr="00697C7B" w:rsidRDefault="00596DA2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197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97" w:type="dxa"/>
            <w:vAlign w:val="center"/>
          </w:tcPr>
          <w:p w:rsidR="001140EF" w:rsidRPr="00697C7B" w:rsidRDefault="00596DA2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</w:tbl>
    <w:p w:rsidR="00596DA2" w:rsidRDefault="00596DA2" w:rsidP="0093773D">
      <w:pPr>
        <w:jc w:val="both"/>
        <w:rPr>
          <w:rFonts w:cs="Times New Roman"/>
          <w:szCs w:val="28"/>
        </w:rPr>
      </w:pPr>
    </w:p>
    <w:p w:rsidR="008E2129" w:rsidRDefault="008E2129" w:rsidP="008E212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1.11 «Проведение огнезащитной обработки деревянных конструкций» Приложения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575"/>
        <w:gridCol w:w="1196"/>
        <w:gridCol w:w="1196"/>
        <w:gridCol w:w="1196"/>
        <w:gridCol w:w="1196"/>
        <w:gridCol w:w="1197"/>
        <w:gridCol w:w="1197"/>
      </w:tblGrid>
      <w:tr w:rsidR="008E2129" w:rsidTr="00BF119C">
        <w:tc>
          <w:tcPr>
            <w:tcW w:w="817" w:type="dxa"/>
            <w:vAlign w:val="center"/>
          </w:tcPr>
          <w:p w:rsidR="008E2129" w:rsidRPr="00697C7B" w:rsidRDefault="008E2129" w:rsidP="008E2129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1575" w:type="dxa"/>
          </w:tcPr>
          <w:p w:rsidR="008E2129" w:rsidRDefault="008E2129" w:rsidP="00BF119C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Проведение </w:t>
            </w:r>
            <w:r>
              <w:rPr>
                <w:rFonts w:cs="Times New Roman"/>
                <w:sz w:val="22"/>
              </w:rPr>
              <w:lastRenderedPageBreak/>
              <w:t>огнезащитной обработки деревянных конструкций</w:t>
            </w:r>
          </w:p>
        </w:tc>
        <w:tc>
          <w:tcPr>
            <w:tcW w:w="1196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1196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196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197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197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</w:tbl>
    <w:p w:rsidR="008E2129" w:rsidRDefault="008E2129" w:rsidP="0093773D">
      <w:pPr>
        <w:jc w:val="both"/>
        <w:rPr>
          <w:rFonts w:cs="Times New Roman"/>
          <w:szCs w:val="28"/>
        </w:rPr>
      </w:pPr>
    </w:p>
    <w:p w:rsidR="00596DA2" w:rsidRDefault="00596DA2" w:rsidP="0093773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1.14 «</w:t>
      </w:r>
      <w:r w:rsidRPr="00596DA2">
        <w:rPr>
          <w:rFonts w:cs="Times New Roman"/>
          <w:szCs w:val="28"/>
        </w:rPr>
        <w:t>Противопожарные двери</w:t>
      </w:r>
      <w:r>
        <w:rPr>
          <w:rFonts w:cs="Times New Roman"/>
          <w:szCs w:val="28"/>
        </w:rPr>
        <w:t xml:space="preserve">» Приложения № 1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7"/>
        <w:gridCol w:w="1974"/>
        <w:gridCol w:w="1183"/>
        <w:gridCol w:w="1121"/>
        <w:gridCol w:w="1130"/>
        <w:gridCol w:w="1121"/>
        <w:gridCol w:w="1122"/>
        <w:gridCol w:w="1122"/>
      </w:tblGrid>
      <w:tr w:rsidR="005A0A0A" w:rsidTr="00BF119C">
        <w:tc>
          <w:tcPr>
            <w:tcW w:w="817" w:type="dxa"/>
            <w:vAlign w:val="center"/>
          </w:tcPr>
          <w:p w:rsidR="00596DA2" w:rsidRPr="00697C7B" w:rsidRDefault="00596DA2" w:rsidP="008E2129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8E2129">
              <w:rPr>
                <w:rFonts w:cs="Times New Roman"/>
                <w:sz w:val="22"/>
              </w:rPr>
              <w:t>14</w:t>
            </w:r>
          </w:p>
        </w:tc>
        <w:tc>
          <w:tcPr>
            <w:tcW w:w="1575" w:type="dxa"/>
          </w:tcPr>
          <w:p w:rsidR="00596DA2" w:rsidRDefault="00596DA2" w:rsidP="00BF119C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196" w:type="dxa"/>
            <w:vAlign w:val="center"/>
          </w:tcPr>
          <w:p w:rsidR="00596DA2" w:rsidRPr="00697C7B" w:rsidRDefault="00596DA2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196" w:type="dxa"/>
            <w:vAlign w:val="center"/>
          </w:tcPr>
          <w:p w:rsidR="00596DA2" w:rsidRPr="00697C7B" w:rsidRDefault="005A0A0A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596DA2" w:rsidRPr="00697C7B" w:rsidRDefault="005A0A0A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14</w:t>
            </w:r>
          </w:p>
        </w:tc>
        <w:tc>
          <w:tcPr>
            <w:tcW w:w="1196" w:type="dxa"/>
            <w:vAlign w:val="center"/>
          </w:tcPr>
          <w:p w:rsidR="00596DA2" w:rsidRPr="00697C7B" w:rsidRDefault="005A0A0A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596DA2" w:rsidRPr="00697C7B" w:rsidRDefault="005A0A0A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596DA2" w:rsidRPr="00697C7B" w:rsidRDefault="005A0A0A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</w:tbl>
    <w:p w:rsidR="008E2129" w:rsidRDefault="008E2129" w:rsidP="008E2129">
      <w:pPr>
        <w:jc w:val="both"/>
        <w:rPr>
          <w:rFonts w:cs="Times New Roman"/>
          <w:szCs w:val="28"/>
        </w:rPr>
      </w:pPr>
    </w:p>
    <w:p w:rsidR="0093773D" w:rsidRDefault="0093773D" w:rsidP="0093773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1.19 «Установка ограждений на крыше зданий» Приложения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 xml:space="preserve">«Перечень стратегических 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 w:rsidR="001140EF"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1575"/>
        <w:gridCol w:w="1196"/>
        <w:gridCol w:w="1196"/>
        <w:gridCol w:w="1196"/>
        <w:gridCol w:w="1196"/>
        <w:gridCol w:w="1197"/>
        <w:gridCol w:w="1197"/>
      </w:tblGrid>
      <w:tr w:rsidR="0093773D" w:rsidTr="00DD6E31">
        <w:tc>
          <w:tcPr>
            <w:tcW w:w="817" w:type="dxa"/>
            <w:vAlign w:val="center"/>
          </w:tcPr>
          <w:p w:rsidR="0093773D" w:rsidRPr="00697C7B" w:rsidRDefault="0093773D" w:rsidP="00DD6E31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1.19</w:t>
            </w:r>
          </w:p>
        </w:tc>
        <w:tc>
          <w:tcPr>
            <w:tcW w:w="1575" w:type="dxa"/>
          </w:tcPr>
          <w:p w:rsidR="0093773D" w:rsidRDefault="0093773D" w:rsidP="00DD6E3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196" w:type="dxa"/>
            <w:vAlign w:val="center"/>
          </w:tcPr>
          <w:p w:rsidR="0093773D" w:rsidRPr="00697C7B" w:rsidRDefault="0093773D" w:rsidP="00DD6E31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196" w:type="dxa"/>
            <w:vAlign w:val="center"/>
          </w:tcPr>
          <w:p w:rsidR="0093773D" w:rsidRPr="00697C7B" w:rsidRDefault="0093773D" w:rsidP="00DD6E31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93773D" w:rsidRPr="00697C7B" w:rsidRDefault="0093773D" w:rsidP="00DD6E31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93773D" w:rsidRPr="00697C7B" w:rsidRDefault="0093773D" w:rsidP="00DD6E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197" w:type="dxa"/>
            <w:vAlign w:val="center"/>
          </w:tcPr>
          <w:p w:rsidR="0093773D" w:rsidRPr="00697C7B" w:rsidRDefault="0093773D" w:rsidP="00DD6E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93773D" w:rsidRPr="00697C7B" w:rsidRDefault="0093773D" w:rsidP="0093773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</w:tbl>
    <w:p w:rsidR="008E2129" w:rsidRDefault="008E2129" w:rsidP="001140EF">
      <w:pPr>
        <w:jc w:val="both"/>
        <w:rPr>
          <w:rFonts w:cs="Times New Roman"/>
          <w:szCs w:val="28"/>
        </w:rPr>
      </w:pPr>
    </w:p>
    <w:p w:rsidR="001140EF" w:rsidRDefault="001140EF" w:rsidP="008E212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211BA1">
        <w:rPr>
          <w:rFonts w:cs="Times New Roman"/>
          <w:szCs w:val="28"/>
        </w:rPr>
        <w:t>Приложение № 3 «Объем финансовых ресурсов для реализации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изложить в новой редакции:</w:t>
      </w:r>
    </w:p>
    <w:p w:rsidR="008E2129" w:rsidRDefault="008E2129" w:rsidP="008E2129">
      <w:pPr>
        <w:jc w:val="both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52"/>
        <w:gridCol w:w="1194"/>
        <w:gridCol w:w="1194"/>
        <w:gridCol w:w="1194"/>
        <w:gridCol w:w="1194"/>
        <w:gridCol w:w="1194"/>
        <w:gridCol w:w="986"/>
      </w:tblGrid>
      <w:tr w:rsidR="001140EF" w:rsidTr="00BF119C">
        <w:tc>
          <w:tcPr>
            <w:tcW w:w="562" w:type="dxa"/>
            <w:vMerge w:val="restart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55" w:type="dxa"/>
            <w:vMerge w:val="restart"/>
          </w:tcPr>
          <w:p w:rsidR="001140EF" w:rsidRPr="002C57E8" w:rsidRDefault="001140EF" w:rsidP="00BF119C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53" w:type="dxa"/>
            <w:gridSpan w:val="6"/>
          </w:tcPr>
          <w:p w:rsidR="001140EF" w:rsidRPr="002C57E8" w:rsidRDefault="001140EF" w:rsidP="00BF119C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1140EF" w:rsidTr="00BF119C">
        <w:tc>
          <w:tcPr>
            <w:tcW w:w="562" w:type="dxa"/>
            <w:vMerge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</w:p>
        </w:tc>
        <w:tc>
          <w:tcPr>
            <w:tcW w:w="2055" w:type="dxa"/>
            <w:vMerge/>
          </w:tcPr>
          <w:p w:rsidR="001140EF" w:rsidRPr="002C57E8" w:rsidRDefault="001140EF" w:rsidP="00BF119C">
            <w:pPr>
              <w:rPr>
                <w:rFonts w:cs="Times New Roman"/>
                <w:sz w:val="22"/>
              </w:rPr>
            </w:pP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973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55" w:type="dxa"/>
          </w:tcPr>
          <w:p w:rsidR="001140EF" w:rsidRPr="002C57E8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96" w:type="dxa"/>
          </w:tcPr>
          <w:p w:rsidR="001140EF" w:rsidRDefault="001140EF" w:rsidP="001111E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2 62</w:t>
            </w:r>
            <w:r w:rsidR="001111E4">
              <w:rPr>
                <w:rFonts w:cs="Times New Roman"/>
                <w:sz w:val="22"/>
              </w:rPr>
              <w:t>9</w:t>
            </w:r>
            <w:r>
              <w:rPr>
                <w:rFonts w:cs="Times New Roman"/>
                <w:sz w:val="22"/>
              </w:rPr>
              <w:t>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3 332,8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4 200,0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973" w:type="dxa"/>
          </w:tcPr>
          <w:p w:rsidR="001140EF" w:rsidRDefault="001140EF" w:rsidP="001111E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17 7</w:t>
            </w:r>
            <w:r w:rsidR="001111E4">
              <w:rPr>
                <w:rFonts w:cs="Times New Roman"/>
                <w:sz w:val="22"/>
              </w:rPr>
              <w:t>08</w:t>
            </w:r>
            <w:r>
              <w:rPr>
                <w:rFonts w:cs="Times New Roman"/>
                <w:sz w:val="22"/>
              </w:rPr>
              <w:t>,4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55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5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96" w:type="dxa"/>
          </w:tcPr>
          <w:p w:rsidR="001140EF" w:rsidRDefault="001111E4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2 629</w:t>
            </w:r>
            <w:r w:rsidR="001140EF">
              <w:rPr>
                <w:rFonts w:cs="Times New Roman"/>
                <w:sz w:val="22"/>
              </w:rPr>
              <w:t>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3 332,8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4 200,0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973" w:type="dxa"/>
          </w:tcPr>
          <w:p w:rsidR="001140EF" w:rsidRDefault="001140EF" w:rsidP="001111E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17 7</w:t>
            </w:r>
            <w:r w:rsidR="001111E4">
              <w:rPr>
                <w:rFonts w:cs="Times New Roman"/>
                <w:sz w:val="22"/>
              </w:rPr>
              <w:t>08</w:t>
            </w:r>
            <w:r>
              <w:rPr>
                <w:rFonts w:cs="Times New Roman"/>
                <w:sz w:val="22"/>
              </w:rPr>
              <w:t>,4</w:t>
            </w:r>
          </w:p>
        </w:tc>
      </w:tr>
      <w:tr w:rsidR="001140EF" w:rsidTr="00BF119C">
        <w:tc>
          <w:tcPr>
            <w:tcW w:w="562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5" w:type="dxa"/>
          </w:tcPr>
          <w:p w:rsidR="001140EF" w:rsidRDefault="001140EF" w:rsidP="00BF11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6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973" w:type="dxa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1140EF" w:rsidRDefault="001140EF" w:rsidP="0043715E">
      <w:pPr>
        <w:jc w:val="both"/>
        <w:rPr>
          <w:rFonts w:cs="Times New Roman"/>
          <w:szCs w:val="28"/>
        </w:rPr>
      </w:pPr>
    </w:p>
    <w:p w:rsidR="001140EF" w:rsidRDefault="001140EF" w:rsidP="008E2129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- пункт 1.8 </w:t>
      </w:r>
      <w:r w:rsidRPr="001140EF">
        <w:rPr>
          <w:rFonts w:cs="Times New Roman"/>
          <w:szCs w:val="28"/>
        </w:rPr>
        <w:t>«Монтаж электросветильников закрытыми колпаками (</w:t>
      </w:r>
      <w:proofErr w:type="spellStart"/>
      <w:r w:rsidRPr="001140EF">
        <w:rPr>
          <w:rFonts w:cs="Times New Roman"/>
          <w:szCs w:val="28"/>
        </w:rPr>
        <w:t>рассеивателями</w:t>
      </w:r>
      <w:proofErr w:type="spellEnd"/>
      <w:r w:rsidRPr="001140EF">
        <w:rPr>
          <w:rFonts w:cs="Times New Roman"/>
          <w:szCs w:val="28"/>
        </w:rPr>
        <w:t xml:space="preserve">)» </w:t>
      </w:r>
      <w:r>
        <w:rPr>
          <w:rFonts w:cs="Times New Roman"/>
          <w:szCs w:val="28"/>
        </w:rPr>
        <w:t xml:space="preserve">Приложения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Pr="00697C7B">
        <w:rPr>
          <w:rFonts w:cs="Times New Roman"/>
          <w:szCs w:val="28"/>
        </w:rPr>
        <w:t>изложить в новой редакции:</w:t>
      </w:r>
      <w:r>
        <w:rPr>
          <w:rFonts w:cs="Times New Roman"/>
          <w:b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0"/>
        <w:gridCol w:w="2221"/>
        <w:gridCol w:w="1166"/>
        <w:gridCol w:w="1017"/>
        <w:gridCol w:w="1017"/>
        <w:gridCol w:w="1017"/>
        <w:gridCol w:w="1364"/>
        <w:gridCol w:w="1018"/>
      </w:tblGrid>
      <w:tr w:rsidR="001140EF" w:rsidTr="00BF119C">
        <w:tc>
          <w:tcPr>
            <w:tcW w:w="817" w:type="dxa"/>
            <w:vAlign w:val="center"/>
          </w:tcPr>
          <w:p w:rsidR="001140EF" w:rsidRPr="00697C7B" w:rsidRDefault="001140EF" w:rsidP="001140EF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1575" w:type="dxa"/>
          </w:tcPr>
          <w:p w:rsidR="001140EF" w:rsidRDefault="001140EF" w:rsidP="00BF119C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59284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592846">
              <w:rPr>
                <w:rFonts w:cs="Times New Roman"/>
                <w:sz w:val="22"/>
              </w:rPr>
              <w:t>)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196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1140EF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  <w:tc>
          <w:tcPr>
            <w:tcW w:w="1197" w:type="dxa"/>
            <w:vAlign w:val="center"/>
          </w:tcPr>
          <w:p w:rsidR="001140EF" w:rsidRPr="00697C7B" w:rsidRDefault="001140EF" w:rsidP="00BF119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802E2F" w:rsidRDefault="00802E2F" w:rsidP="0043715E">
      <w:pPr>
        <w:jc w:val="both"/>
        <w:rPr>
          <w:rFonts w:cs="Times New Roman"/>
          <w:szCs w:val="28"/>
        </w:rPr>
      </w:pPr>
    </w:p>
    <w:p w:rsidR="00596DA2" w:rsidRDefault="00596DA2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пункт 1.</w:t>
      </w:r>
      <w:r w:rsidR="008E2129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 xml:space="preserve"> «Замена системы АПС» Приложения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Pr="00697C7B"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850"/>
        <w:gridCol w:w="1418"/>
        <w:gridCol w:w="1417"/>
        <w:gridCol w:w="1276"/>
        <w:gridCol w:w="1276"/>
        <w:gridCol w:w="1665"/>
      </w:tblGrid>
      <w:tr w:rsidR="00596DA2" w:rsidTr="008E2129">
        <w:tc>
          <w:tcPr>
            <w:tcW w:w="675" w:type="dxa"/>
            <w:vAlign w:val="center"/>
          </w:tcPr>
          <w:p w:rsidR="00596DA2" w:rsidRPr="00697C7B" w:rsidRDefault="00596DA2" w:rsidP="008E2129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 w:rsidR="008E2129">
              <w:rPr>
                <w:rFonts w:cs="Times New Roman"/>
                <w:sz w:val="22"/>
              </w:rPr>
              <w:t>10</w:t>
            </w:r>
          </w:p>
        </w:tc>
        <w:tc>
          <w:tcPr>
            <w:tcW w:w="993" w:type="dxa"/>
            <w:vAlign w:val="center"/>
          </w:tcPr>
          <w:p w:rsidR="00596DA2" w:rsidRDefault="00596DA2" w:rsidP="00596DA2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систе</w:t>
            </w:r>
            <w:proofErr w:type="spellEnd"/>
            <w:r>
              <w:rPr>
                <w:rFonts w:cs="Times New Roman"/>
                <w:sz w:val="22"/>
              </w:rPr>
              <w:t>-мы</w:t>
            </w:r>
            <w:proofErr w:type="gramEnd"/>
            <w:r>
              <w:rPr>
                <w:rFonts w:cs="Times New Roman"/>
                <w:sz w:val="22"/>
              </w:rPr>
              <w:t xml:space="preserve"> АПС</w:t>
            </w:r>
          </w:p>
        </w:tc>
        <w:tc>
          <w:tcPr>
            <w:tcW w:w="850" w:type="dxa"/>
            <w:vAlign w:val="center"/>
          </w:tcPr>
          <w:p w:rsidR="00596DA2" w:rsidRPr="00697C7B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697C7B">
              <w:rPr>
                <w:rFonts w:cs="Times New Roman"/>
                <w:sz w:val="22"/>
              </w:rPr>
              <w:t>Объек</w:t>
            </w:r>
            <w:proofErr w:type="spellEnd"/>
            <w:r>
              <w:rPr>
                <w:rFonts w:cs="Times New Roman"/>
                <w:sz w:val="22"/>
              </w:rPr>
              <w:t>-</w:t>
            </w:r>
            <w:r w:rsidRPr="00697C7B">
              <w:rPr>
                <w:rFonts w:cs="Times New Roman"/>
                <w:sz w:val="22"/>
              </w:rPr>
              <w:t>ты</w:t>
            </w:r>
            <w:proofErr w:type="gramEnd"/>
          </w:p>
        </w:tc>
        <w:tc>
          <w:tcPr>
            <w:tcW w:w="1418" w:type="dxa"/>
            <w:vAlign w:val="center"/>
          </w:tcPr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665" w:type="dxa"/>
            <w:vAlign w:val="center"/>
          </w:tcPr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</w:t>
            </w:r>
            <w:proofErr w:type="gramStart"/>
            <w:r>
              <w:rPr>
                <w:rFonts w:cs="Times New Roman"/>
                <w:sz w:val="22"/>
              </w:rPr>
              <w:t>с</w:t>
            </w:r>
            <w:proofErr w:type="gramEnd"/>
            <w:r>
              <w:rPr>
                <w:rFonts w:cs="Times New Roman"/>
                <w:sz w:val="22"/>
              </w:rPr>
              <w:t>.)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A0A0A" w:rsidRDefault="005A0A0A" w:rsidP="00596D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  <w:p w:rsidR="00596DA2" w:rsidRDefault="00596DA2" w:rsidP="00596DA2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596DA2" w:rsidRDefault="00596DA2" w:rsidP="0043715E">
      <w:pPr>
        <w:jc w:val="both"/>
        <w:rPr>
          <w:rFonts w:cs="Times New Roman"/>
          <w:szCs w:val="28"/>
        </w:rPr>
      </w:pPr>
    </w:p>
    <w:p w:rsidR="008E2129" w:rsidRDefault="008E2129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1.11 «Проведение огнезащитной обработки деревянных конструкций» Приложения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Pr="00697C7B">
        <w:rPr>
          <w:rFonts w:cs="Times New Roman"/>
          <w:szCs w:val="28"/>
        </w:rPr>
        <w:t>изложить в новой редакции: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851"/>
        <w:gridCol w:w="708"/>
        <w:gridCol w:w="1134"/>
        <w:gridCol w:w="1560"/>
        <w:gridCol w:w="1275"/>
        <w:gridCol w:w="1524"/>
      </w:tblGrid>
      <w:tr w:rsidR="008E2129" w:rsidTr="0085379F">
        <w:tc>
          <w:tcPr>
            <w:tcW w:w="675" w:type="dxa"/>
            <w:vAlign w:val="center"/>
          </w:tcPr>
          <w:p w:rsidR="008E2129" w:rsidRPr="00697C7B" w:rsidRDefault="008E2129" w:rsidP="008E2129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</w:t>
            </w: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1843" w:type="dxa"/>
            <w:vAlign w:val="center"/>
          </w:tcPr>
          <w:p w:rsidR="008E2129" w:rsidRDefault="008E2129" w:rsidP="00BF119C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Проведение огнезащитной обработки деревянных конструкций</w:t>
            </w:r>
          </w:p>
        </w:tc>
        <w:tc>
          <w:tcPr>
            <w:tcW w:w="851" w:type="dxa"/>
            <w:vAlign w:val="center"/>
          </w:tcPr>
          <w:p w:rsidR="008E2129" w:rsidRPr="00697C7B" w:rsidRDefault="008E2129" w:rsidP="00BF119C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697C7B">
              <w:rPr>
                <w:rFonts w:cs="Times New Roman"/>
                <w:sz w:val="22"/>
              </w:rPr>
              <w:t>Объек</w:t>
            </w:r>
            <w:proofErr w:type="spellEnd"/>
            <w:r>
              <w:rPr>
                <w:rFonts w:cs="Times New Roman"/>
                <w:sz w:val="22"/>
              </w:rPr>
              <w:t>-</w:t>
            </w:r>
            <w:r w:rsidRPr="00697C7B">
              <w:rPr>
                <w:rFonts w:cs="Times New Roman"/>
                <w:sz w:val="22"/>
              </w:rPr>
              <w:t>ты</w:t>
            </w:r>
            <w:proofErr w:type="gramEnd"/>
          </w:p>
        </w:tc>
        <w:tc>
          <w:tcPr>
            <w:tcW w:w="708" w:type="dxa"/>
            <w:vAlign w:val="center"/>
          </w:tcPr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8E2129" w:rsidRDefault="0085379F" w:rsidP="008E212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 xml:space="preserve"> (ГБОУ СОШ с. Подбельск</w:t>
            </w:r>
          </w:p>
        </w:tc>
        <w:tc>
          <w:tcPr>
            <w:tcW w:w="1275" w:type="dxa"/>
            <w:vAlign w:val="center"/>
          </w:tcPr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Ср</w:t>
            </w:r>
            <w:proofErr w:type="gramEnd"/>
            <w:r>
              <w:rPr>
                <w:rFonts w:cs="Times New Roman"/>
                <w:sz w:val="22"/>
              </w:rPr>
              <w:t>.</w:t>
            </w:r>
          </w:p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Аверкино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8E2129" w:rsidRDefault="008E2129" w:rsidP="008E212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24" w:type="dxa"/>
            <w:vAlign w:val="center"/>
          </w:tcPr>
          <w:p w:rsidR="008E2129" w:rsidRDefault="0085379F" w:rsidP="0085379F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  <w:r w:rsidR="008E2129">
              <w:rPr>
                <w:rFonts w:cs="Times New Roman"/>
                <w:sz w:val="22"/>
              </w:rPr>
              <w:t>)</w:t>
            </w:r>
            <w:proofErr w:type="gramEnd"/>
          </w:p>
        </w:tc>
      </w:tr>
    </w:tbl>
    <w:p w:rsidR="008E2129" w:rsidRDefault="008E2129" w:rsidP="0043715E">
      <w:pPr>
        <w:jc w:val="both"/>
        <w:rPr>
          <w:rFonts w:cs="Times New Roman"/>
          <w:szCs w:val="28"/>
        </w:rPr>
      </w:pPr>
    </w:p>
    <w:p w:rsidR="005A0A0A" w:rsidRDefault="005A0A0A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1.14 «</w:t>
      </w:r>
      <w:r w:rsidRPr="00596DA2">
        <w:rPr>
          <w:rFonts w:cs="Times New Roman"/>
          <w:szCs w:val="28"/>
        </w:rPr>
        <w:t>Противопожарные двери</w:t>
      </w:r>
      <w:r>
        <w:rPr>
          <w:rFonts w:cs="Times New Roman"/>
          <w:szCs w:val="28"/>
        </w:rPr>
        <w:t xml:space="preserve">» Приложения № 4 </w:t>
      </w:r>
      <w:r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Pr="00697C7B">
        <w:rPr>
          <w:rFonts w:cs="Times New Roman"/>
          <w:szCs w:val="28"/>
        </w:rPr>
        <w:t>согласно</w:t>
      </w:r>
      <w:proofErr w:type="gramEnd"/>
      <w:r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 w:rsidRPr="00697C7B">
        <w:rPr>
          <w:rFonts w:cs="Times New Roman"/>
          <w:szCs w:val="28"/>
        </w:rPr>
        <w:t>изложить в новой редакции:</w:t>
      </w:r>
      <w:r>
        <w:rPr>
          <w:rFonts w:cs="Times New Roman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3"/>
        <w:gridCol w:w="1168"/>
        <w:gridCol w:w="1050"/>
        <w:gridCol w:w="651"/>
        <w:gridCol w:w="2410"/>
        <w:gridCol w:w="850"/>
        <w:gridCol w:w="851"/>
        <w:gridCol w:w="1807"/>
      </w:tblGrid>
      <w:tr w:rsidR="005A0A0A" w:rsidTr="005A0A0A">
        <w:tc>
          <w:tcPr>
            <w:tcW w:w="783" w:type="dxa"/>
            <w:vAlign w:val="center"/>
          </w:tcPr>
          <w:p w:rsidR="005A0A0A" w:rsidRPr="00697C7B" w:rsidRDefault="005A0A0A" w:rsidP="008E2129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1.1</w:t>
            </w:r>
            <w:r w:rsidR="008E2129">
              <w:rPr>
                <w:rFonts w:cs="Times New Roman"/>
                <w:sz w:val="22"/>
              </w:rPr>
              <w:t>4</w:t>
            </w:r>
          </w:p>
        </w:tc>
        <w:tc>
          <w:tcPr>
            <w:tcW w:w="1168" w:type="dxa"/>
            <w:vAlign w:val="center"/>
          </w:tcPr>
          <w:p w:rsidR="005A0A0A" w:rsidRDefault="005A0A0A" w:rsidP="005A0A0A">
            <w:pPr>
              <w:spacing w:before="100" w:beforeAutospacing="1"/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Противо</w:t>
            </w:r>
            <w:proofErr w:type="spellEnd"/>
            <w:r>
              <w:rPr>
                <w:rFonts w:cs="Times New Roman"/>
                <w:sz w:val="22"/>
              </w:rPr>
              <w:t>-пожарные</w:t>
            </w:r>
            <w:proofErr w:type="gramEnd"/>
            <w:r>
              <w:rPr>
                <w:rFonts w:cs="Times New Roman"/>
                <w:sz w:val="22"/>
              </w:rPr>
              <w:t xml:space="preserve"> двери</w:t>
            </w:r>
          </w:p>
        </w:tc>
        <w:tc>
          <w:tcPr>
            <w:tcW w:w="1050" w:type="dxa"/>
            <w:vAlign w:val="center"/>
          </w:tcPr>
          <w:p w:rsidR="005A0A0A" w:rsidRPr="00697C7B" w:rsidRDefault="005A0A0A" w:rsidP="005A0A0A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651" w:type="dxa"/>
            <w:vAlign w:val="center"/>
          </w:tcPr>
          <w:p w:rsidR="005A0A0A" w:rsidRPr="00697C7B" w:rsidRDefault="005A0A0A" w:rsidP="005A0A0A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2410" w:type="dxa"/>
            <w:vAlign w:val="center"/>
          </w:tcPr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Н.Мансуркино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</w:t>
            </w:r>
          </w:p>
          <w:p w:rsidR="005A0A0A" w:rsidRPr="00697C7B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</w:p>
        </w:tc>
        <w:tc>
          <w:tcPr>
            <w:tcW w:w="850" w:type="dxa"/>
            <w:vAlign w:val="center"/>
          </w:tcPr>
          <w:p w:rsidR="005A0A0A" w:rsidRPr="00697C7B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A0A0A" w:rsidRPr="00697C7B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807" w:type="dxa"/>
            <w:vAlign w:val="center"/>
          </w:tcPr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5A0A0A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5A0A0A" w:rsidRPr="00697C7B" w:rsidRDefault="005A0A0A" w:rsidP="005A0A0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общежития)</w:t>
            </w:r>
          </w:p>
        </w:tc>
      </w:tr>
    </w:tbl>
    <w:p w:rsidR="005A0A0A" w:rsidRDefault="005A0A0A" w:rsidP="0043715E">
      <w:pPr>
        <w:jc w:val="both"/>
        <w:rPr>
          <w:rFonts w:cs="Times New Roman"/>
          <w:szCs w:val="28"/>
        </w:rPr>
      </w:pPr>
    </w:p>
    <w:p w:rsidR="00F87F51" w:rsidRDefault="00F87F51" w:rsidP="008E2129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- </w:t>
      </w:r>
      <w:r w:rsidR="00697C7B">
        <w:rPr>
          <w:rFonts w:cs="Times New Roman"/>
          <w:szCs w:val="28"/>
        </w:rPr>
        <w:t>пункт 1.19 «</w:t>
      </w:r>
      <w:r w:rsidR="00697C7B" w:rsidRPr="00697C7B">
        <w:rPr>
          <w:rFonts w:cs="Times New Roman"/>
          <w:szCs w:val="28"/>
        </w:rPr>
        <w:t>Установка ограждений на крыше зданий</w:t>
      </w:r>
      <w:r w:rsidR="00697C7B">
        <w:rPr>
          <w:rFonts w:cs="Times New Roman"/>
          <w:szCs w:val="28"/>
        </w:rPr>
        <w:t xml:space="preserve">» Приложения № 4 </w:t>
      </w:r>
      <w:r w:rsidR="00697C7B" w:rsidRPr="00697C7B">
        <w:rPr>
          <w:rFonts w:cs="Times New Roman"/>
          <w:szCs w:val="28"/>
        </w:rPr>
        <w:t xml:space="preserve">«План по устранению нарушений </w:t>
      </w:r>
      <w:proofErr w:type="gramStart"/>
      <w:r w:rsidR="00697C7B" w:rsidRPr="00697C7B">
        <w:rPr>
          <w:rFonts w:cs="Times New Roman"/>
          <w:szCs w:val="28"/>
        </w:rPr>
        <w:t>согласно</w:t>
      </w:r>
      <w:proofErr w:type="gramEnd"/>
      <w:r w:rsidR="00697C7B" w:rsidRPr="00697C7B">
        <w:rPr>
          <w:rFonts w:cs="Times New Roman"/>
          <w:szCs w:val="28"/>
        </w:rPr>
        <w:t xml:space="preserve">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="00697C7B" w:rsidRPr="0043715E">
        <w:rPr>
          <w:rFonts w:cs="Times New Roman"/>
          <w:sz w:val="22"/>
          <w:szCs w:val="22"/>
        </w:rPr>
        <w:t xml:space="preserve">  </w:t>
      </w:r>
      <w:r w:rsidR="00697C7B" w:rsidRPr="00697C7B">
        <w:rPr>
          <w:rFonts w:cs="Times New Roman"/>
          <w:szCs w:val="28"/>
        </w:rPr>
        <w:t>изложить в новой редакции:</w:t>
      </w:r>
      <w:r w:rsidR="001140EF">
        <w:rPr>
          <w:rFonts w:cs="Times New Roman"/>
          <w:b/>
          <w:szCs w:val="28"/>
        </w:rPr>
        <w:tab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80"/>
        <w:gridCol w:w="2872"/>
        <w:gridCol w:w="1276"/>
        <w:gridCol w:w="425"/>
        <w:gridCol w:w="425"/>
        <w:gridCol w:w="1701"/>
        <w:gridCol w:w="681"/>
        <w:gridCol w:w="1410"/>
      </w:tblGrid>
      <w:tr w:rsidR="0093773D" w:rsidTr="00802E2F">
        <w:tc>
          <w:tcPr>
            <w:tcW w:w="780" w:type="dxa"/>
            <w:vAlign w:val="center"/>
          </w:tcPr>
          <w:p w:rsidR="00697C7B" w:rsidRPr="00697C7B" w:rsidRDefault="00697C7B" w:rsidP="00697C7B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1.19</w:t>
            </w:r>
          </w:p>
        </w:tc>
        <w:tc>
          <w:tcPr>
            <w:tcW w:w="2872" w:type="dxa"/>
          </w:tcPr>
          <w:p w:rsidR="00697C7B" w:rsidRDefault="00697C7B" w:rsidP="00DD6E31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6" w:type="dxa"/>
            <w:vAlign w:val="center"/>
          </w:tcPr>
          <w:p w:rsidR="00697C7B" w:rsidRPr="00697C7B" w:rsidRDefault="00697C7B" w:rsidP="00697C7B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425" w:type="dxa"/>
            <w:vAlign w:val="center"/>
          </w:tcPr>
          <w:p w:rsidR="00697C7B" w:rsidRPr="00697C7B" w:rsidRDefault="00697C7B" w:rsidP="00697C7B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425" w:type="dxa"/>
            <w:vAlign w:val="center"/>
          </w:tcPr>
          <w:p w:rsidR="00697C7B" w:rsidRPr="00697C7B" w:rsidRDefault="00697C7B" w:rsidP="00697C7B">
            <w:pPr>
              <w:jc w:val="center"/>
              <w:rPr>
                <w:rFonts w:cs="Times New Roman"/>
                <w:sz w:val="22"/>
              </w:rPr>
            </w:pPr>
            <w:r w:rsidRPr="00697C7B"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697C7B" w:rsidRDefault="00697C7B" w:rsidP="00697C7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</w:p>
          <w:p w:rsidR="0093773D" w:rsidRPr="00697C7B" w:rsidRDefault="0093773D" w:rsidP="00697C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681" w:type="dxa"/>
            <w:vAlign w:val="center"/>
          </w:tcPr>
          <w:p w:rsidR="00697C7B" w:rsidRPr="00697C7B" w:rsidRDefault="00697C7B" w:rsidP="00697C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410" w:type="dxa"/>
            <w:vAlign w:val="center"/>
          </w:tcPr>
          <w:p w:rsidR="00697C7B" w:rsidRDefault="0093773D" w:rsidP="00697C7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</w:p>
          <w:p w:rsidR="0093773D" w:rsidRPr="00697C7B" w:rsidRDefault="0093773D" w:rsidP="00697C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</w:tbl>
    <w:p w:rsidR="00DA6A8A" w:rsidRDefault="00DA6A8A" w:rsidP="00DA6A8A">
      <w:pPr>
        <w:jc w:val="both"/>
        <w:rPr>
          <w:rFonts w:cs="Times New Roman"/>
          <w:b/>
          <w:szCs w:val="28"/>
        </w:rPr>
      </w:pPr>
    </w:p>
    <w:p w:rsidR="009C04A1" w:rsidRPr="009C04A1" w:rsidRDefault="009C04A1" w:rsidP="00DA6A8A">
      <w:pPr>
        <w:jc w:val="both"/>
        <w:rPr>
          <w:rFonts w:cs="Times New Roman"/>
          <w:szCs w:val="28"/>
        </w:rPr>
      </w:pPr>
      <w:r w:rsidRPr="009C04A1">
        <w:rPr>
          <w:rFonts w:cs="Times New Roman"/>
          <w:szCs w:val="28"/>
        </w:rPr>
        <w:t xml:space="preserve">- муниципальную программу </w:t>
      </w:r>
      <w:r w:rsidRPr="00697C7B">
        <w:rPr>
          <w:rFonts w:cs="Times New Roman"/>
          <w:szCs w:val="28"/>
        </w:rPr>
        <w:t>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 </w:t>
      </w:r>
      <w:r>
        <w:rPr>
          <w:rFonts w:cs="Times New Roman"/>
          <w:szCs w:val="28"/>
        </w:rPr>
        <w:t xml:space="preserve">дополнить Приложением № 5 «Объем финансового обеспечения плана по устранению нарушений согласно </w:t>
      </w:r>
    </w:p>
    <w:p w:rsidR="003672E7" w:rsidRPr="00E55D39" w:rsidRDefault="009C04A1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 w:rsidRPr="00697C7B">
        <w:rPr>
          <w:rFonts w:cs="Times New Roman"/>
          <w:szCs w:val="28"/>
        </w:rPr>
        <w:t>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Pr="0043715E">
        <w:rPr>
          <w:rFonts w:cs="Times New Roman"/>
          <w:sz w:val="22"/>
          <w:szCs w:val="22"/>
        </w:rPr>
        <w:t xml:space="preserve"> </w:t>
      </w:r>
      <w:r w:rsidR="00802E2F">
        <w:rPr>
          <w:rFonts w:cs="Times New Roman"/>
          <w:sz w:val="22"/>
          <w:szCs w:val="22"/>
        </w:rPr>
        <w:t>.</w:t>
      </w:r>
      <w:r w:rsidRPr="0043715E">
        <w:rPr>
          <w:rFonts w:cs="Times New Roman"/>
          <w:sz w:val="22"/>
          <w:szCs w:val="22"/>
        </w:rPr>
        <w:t xml:space="preserve"> </w:t>
      </w: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="005D2AD2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="005D2AD2">
        <w:rPr>
          <w:rFonts w:eastAsiaTheme="minorHAnsi" w:cs="Times New Roman"/>
          <w:bCs w:val="0"/>
          <w:szCs w:val="28"/>
          <w:lang w:eastAsia="en-US"/>
        </w:rPr>
        <w:t>Контроль за вы</w:t>
      </w:r>
      <w:r w:rsidRPr="00C82AD1">
        <w:rPr>
          <w:rFonts w:eastAsiaTheme="minorHAnsi" w:cs="Times New Roman"/>
          <w:bCs w:val="0"/>
          <w:szCs w:val="28"/>
          <w:lang w:eastAsia="en-US"/>
        </w:rPr>
        <w:t>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  <w:proofErr w:type="gramEnd"/>
    </w:p>
    <w:p w:rsidR="005D2AD2" w:rsidRDefault="005D2AD2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</w:t>
      </w:r>
      <w:r w:rsidR="00EA21D1">
        <w:rPr>
          <w:rFonts w:cs="Times New Roman"/>
          <w:szCs w:val="28"/>
        </w:rPr>
        <w:t xml:space="preserve"> Похвистневский в сети Интернет</w:t>
      </w:r>
      <w:r>
        <w:rPr>
          <w:rFonts w:cs="Times New Roman"/>
          <w:szCs w:val="28"/>
        </w:rPr>
        <w:t>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3672E7" w:rsidRDefault="00005A07" w:rsidP="00177E4E">
      <w:r w:rsidRPr="00005A07">
        <w:t xml:space="preserve"> Глав</w:t>
      </w:r>
      <w:r w:rsidR="005D2AD2">
        <w:t>а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5D2AD2">
        <w:t xml:space="preserve">                  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43715E" w:rsidRDefault="0043715E" w:rsidP="00177E4E"/>
    <w:p w:rsidR="0043715E" w:rsidRDefault="0043715E" w:rsidP="00177E4E"/>
    <w:p w:rsidR="009C04A1" w:rsidRDefault="009C04A1" w:rsidP="009C04A1">
      <w:pPr>
        <w:spacing w:after="200" w:line="276" w:lineRule="auto"/>
      </w:pPr>
      <w:r>
        <w:br w:type="page"/>
      </w:r>
    </w:p>
    <w:p w:rsidR="009C04A1" w:rsidRDefault="009C04A1" w:rsidP="009C04A1">
      <w:pPr>
        <w:spacing w:after="200" w:line="276" w:lineRule="auto"/>
        <w:sectPr w:rsidR="009C04A1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C04A1" w:rsidRPr="0098220E" w:rsidRDefault="009C04A1" w:rsidP="009C04A1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9C04A1" w:rsidRPr="0098220E" w:rsidRDefault="009C04A1" w:rsidP="009C04A1">
      <w:pPr>
        <w:jc w:val="center"/>
        <w:rPr>
          <w:sz w:val="24"/>
        </w:rPr>
      </w:pPr>
    </w:p>
    <w:p w:rsidR="009C04A1" w:rsidRPr="0098220E" w:rsidRDefault="009C04A1" w:rsidP="009C04A1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98220E" w:rsidRDefault="009C04A1" w:rsidP="009C04A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9C04A1" w:rsidRPr="0098220E" w:rsidRDefault="009C04A1" w:rsidP="009C04A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2018-2022 годы»</w:t>
      </w:r>
    </w:p>
    <w:p w:rsidR="009C04A1" w:rsidRDefault="009C04A1" w:rsidP="00F34506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2204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2022 год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40 800,00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color w:val="FF0000"/>
                <w:sz w:val="22"/>
              </w:rPr>
              <w:t>67 800,00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color w:val="FF0000"/>
                <w:sz w:val="22"/>
              </w:rPr>
              <w:t>67 800,00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color w:val="FF0000"/>
                <w:sz w:val="22"/>
              </w:rPr>
              <w:t>67 800,00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color w:val="FF0000"/>
                <w:sz w:val="22"/>
              </w:rPr>
              <w:t>67 800,00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60 000,00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60 000,00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275 000,00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240 000,00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70 237,41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89 028,00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100 000,00</w:t>
            </w:r>
          </w:p>
        </w:tc>
        <w:tc>
          <w:tcPr>
            <w:tcW w:w="2204" w:type="dxa"/>
          </w:tcPr>
          <w:p w:rsidR="00970FE5" w:rsidRPr="00F34506" w:rsidRDefault="00970FE5" w:rsidP="00970F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30 000,00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27 500,00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30 000,00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30 000,00</w:t>
            </w:r>
          </w:p>
        </w:tc>
      </w:tr>
      <w:tr w:rsidR="0098220E" w:rsidRPr="00F34506" w:rsidTr="00F34506">
        <w:trPr>
          <w:trHeight w:val="1316"/>
        </w:trPr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F34506">
              <w:rPr>
                <w:rFonts w:cs="Times New Roman"/>
                <w:sz w:val="22"/>
              </w:rPr>
              <w:t>косоуров</w:t>
            </w:r>
            <w:proofErr w:type="spellEnd"/>
            <w:r w:rsidRPr="00F3450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27 000,00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F3450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F3450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840 000,00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98220E" w:rsidRPr="00F34506" w:rsidTr="00181272">
        <w:trPr>
          <w:trHeight w:val="1198"/>
        </w:trPr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1 634 728,92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2 175 644,64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1 859 200,00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1 211 000,00</w:t>
            </w:r>
          </w:p>
        </w:tc>
        <w:tc>
          <w:tcPr>
            <w:tcW w:w="2204" w:type="dxa"/>
          </w:tcPr>
          <w:p w:rsidR="0098220E" w:rsidRPr="00F34506" w:rsidRDefault="00970FE5" w:rsidP="0085379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85379F">
              <w:rPr>
                <w:rFonts w:cs="Times New Roman"/>
                <w:sz w:val="22"/>
              </w:rPr>
              <w:t>06</w:t>
            </w:r>
            <w:r>
              <w:rPr>
                <w:rFonts w:cs="Times New Roman"/>
                <w:sz w:val="22"/>
              </w:rPr>
              <w:t>1 000,00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F3450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84 200,00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1 140 000,00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</w:tr>
      <w:tr w:rsidR="0098220E" w:rsidRPr="00F34506" w:rsidTr="00181272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98220E" w:rsidRPr="00F34506" w:rsidRDefault="0098220E" w:rsidP="00F34506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</w:t>
            </w:r>
            <w:r w:rsidR="00F34506" w:rsidRPr="00F34506">
              <w:rPr>
                <w:rFonts w:cs="Times New Roman"/>
                <w:sz w:val="22"/>
              </w:rPr>
              <w:t>к</w:t>
            </w:r>
            <w:r w:rsidRPr="00F3450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274 000,00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284 489,00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304 118,46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98220E" w:rsidRPr="00F34506" w:rsidRDefault="0098220E" w:rsidP="0098220E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245 048,58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970FE5" w:rsidRDefault="00970FE5" w:rsidP="00970FE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</w:t>
            </w:r>
            <w:r w:rsidRPr="00970FE5">
              <w:rPr>
                <w:rFonts w:cs="Times New Roman"/>
                <w:sz w:val="22"/>
              </w:rPr>
              <w:t>9 800,00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280 000,00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98220E" w:rsidRPr="00F34506" w:rsidTr="0098220E">
        <w:tc>
          <w:tcPr>
            <w:tcW w:w="601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98220E" w:rsidRPr="00F34506" w:rsidRDefault="0098220E" w:rsidP="00181272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98220E" w:rsidRPr="00F34506" w:rsidRDefault="0098220E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F34506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98220E" w:rsidRPr="00F34506" w:rsidRDefault="00567CDE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98220E" w:rsidRPr="00F34506" w:rsidRDefault="00970FE5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98220E" w:rsidRPr="00F34506" w:rsidRDefault="0085379F" w:rsidP="001812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</w:tbl>
    <w:p w:rsidR="009C04A1" w:rsidRPr="00F34506" w:rsidRDefault="009C04A1" w:rsidP="0085379F">
      <w:pPr>
        <w:rPr>
          <w:sz w:val="22"/>
          <w:szCs w:val="22"/>
        </w:rPr>
      </w:pPr>
    </w:p>
    <w:sectPr w:rsidR="009C04A1" w:rsidRPr="00F34506" w:rsidSect="00F34506">
      <w:pgSz w:w="16838" w:h="11906" w:orient="landscape"/>
      <w:pgMar w:top="1134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98" w:rsidRDefault="007D2898" w:rsidP="00A05E66">
      <w:r>
        <w:separator/>
      </w:r>
    </w:p>
  </w:endnote>
  <w:endnote w:type="continuationSeparator" w:id="0">
    <w:p w:rsidR="007D2898" w:rsidRDefault="007D2898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98" w:rsidRDefault="007D2898" w:rsidP="00A05E66">
      <w:r>
        <w:separator/>
      </w:r>
    </w:p>
  </w:footnote>
  <w:footnote w:type="continuationSeparator" w:id="0">
    <w:p w:rsidR="007D2898" w:rsidRDefault="007D2898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754B6"/>
    <w:rsid w:val="0009177F"/>
    <w:rsid w:val="00096E9F"/>
    <w:rsid w:val="000A08AF"/>
    <w:rsid w:val="000E7196"/>
    <w:rsid w:val="000F6FCD"/>
    <w:rsid w:val="00100650"/>
    <w:rsid w:val="00103DF6"/>
    <w:rsid w:val="001111E4"/>
    <w:rsid w:val="001140EF"/>
    <w:rsid w:val="00121609"/>
    <w:rsid w:val="001237E9"/>
    <w:rsid w:val="001362AC"/>
    <w:rsid w:val="001376D5"/>
    <w:rsid w:val="00162C9F"/>
    <w:rsid w:val="001645FB"/>
    <w:rsid w:val="00166D9E"/>
    <w:rsid w:val="00177E4E"/>
    <w:rsid w:val="001A2A35"/>
    <w:rsid w:val="001A6AA9"/>
    <w:rsid w:val="001D65B3"/>
    <w:rsid w:val="0020125F"/>
    <w:rsid w:val="00204619"/>
    <w:rsid w:val="00211BA1"/>
    <w:rsid w:val="00241932"/>
    <w:rsid w:val="00242861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4A99"/>
    <w:rsid w:val="0031313D"/>
    <w:rsid w:val="00317055"/>
    <w:rsid w:val="00320985"/>
    <w:rsid w:val="0032400A"/>
    <w:rsid w:val="00341A9B"/>
    <w:rsid w:val="00364032"/>
    <w:rsid w:val="003672E7"/>
    <w:rsid w:val="003720B0"/>
    <w:rsid w:val="003A2A18"/>
    <w:rsid w:val="003C11E2"/>
    <w:rsid w:val="003D1C32"/>
    <w:rsid w:val="003E5166"/>
    <w:rsid w:val="003F2192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523FB"/>
    <w:rsid w:val="00655F6F"/>
    <w:rsid w:val="00686A40"/>
    <w:rsid w:val="006911CA"/>
    <w:rsid w:val="00697C7B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B7F39"/>
    <w:rsid w:val="007D2898"/>
    <w:rsid w:val="00801687"/>
    <w:rsid w:val="00802E2F"/>
    <w:rsid w:val="00815004"/>
    <w:rsid w:val="008203DD"/>
    <w:rsid w:val="0085379F"/>
    <w:rsid w:val="00881914"/>
    <w:rsid w:val="008B7A74"/>
    <w:rsid w:val="008C1853"/>
    <w:rsid w:val="008C4D76"/>
    <w:rsid w:val="008E1D51"/>
    <w:rsid w:val="008E2129"/>
    <w:rsid w:val="00901511"/>
    <w:rsid w:val="0091547C"/>
    <w:rsid w:val="0091746F"/>
    <w:rsid w:val="0093773D"/>
    <w:rsid w:val="00950F6C"/>
    <w:rsid w:val="00970FE5"/>
    <w:rsid w:val="00977FC3"/>
    <w:rsid w:val="0098220E"/>
    <w:rsid w:val="009B2E0D"/>
    <w:rsid w:val="009C04A1"/>
    <w:rsid w:val="009C7AFE"/>
    <w:rsid w:val="009D5C6A"/>
    <w:rsid w:val="009E585D"/>
    <w:rsid w:val="009E6622"/>
    <w:rsid w:val="00A05E66"/>
    <w:rsid w:val="00A3350C"/>
    <w:rsid w:val="00A35FF5"/>
    <w:rsid w:val="00A45DBB"/>
    <w:rsid w:val="00A74207"/>
    <w:rsid w:val="00AC0E42"/>
    <w:rsid w:val="00AC1009"/>
    <w:rsid w:val="00AF1941"/>
    <w:rsid w:val="00AF1A2D"/>
    <w:rsid w:val="00B01858"/>
    <w:rsid w:val="00B37E3A"/>
    <w:rsid w:val="00B436D0"/>
    <w:rsid w:val="00B93220"/>
    <w:rsid w:val="00BA2D5F"/>
    <w:rsid w:val="00C002F0"/>
    <w:rsid w:val="00C03F64"/>
    <w:rsid w:val="00C11CE3"/>
    <w:rsid w:val="00C35DF3"/>
    <w:rsid w:val="00C47D4A"/>
    <w:rsid w:val="00C56CF6"/>
    <w:rsid w:val="00C82AD1"/>
    <w:rsid w:val="00C92B0C"/>
    <w:rsid w:val="00C92D5A"/>
    <w:rsid w:val="00C95297"/>
    <w:rsid w:val="00CA16F0"/>
    <w:rsid w:val="00CB7068"/>
    <w:rsid w:val="00CE23C9"/>
    <w:rsid w:val="00CF081A"/>
    <w:rsid w:val="00D03626"/>
    <w:rsid w:val="00D04735"/>
    <w:rsid w:val="00D274B1"/>
    <w:rsid w:val="00D67B7E"/>
    <w:rsid w:val="00D91962"/>
    <w:rsid w:val="00D95199"/>
    <w:rsid w:val="00DA6A8A"/>
    <w:rsid w:val="00DA7008"/>
    <w:rsid w:val="00DC0658"/>
    <w:rsid w:val="00DC79B3"/>
    <w:rsid w:val="00DF63E8"/>
    <w:rsid w:val="00E12FB3"/>
    <w:rsid w:val="00E30E0C"/>
    <w:rsid w:val="00E4349E"/>
    <w:rsid w:val="00E44B32"/>
    <w:rsid w:val="00E514A6"/>
    <w:rsid w:val="00E55D39"/>
    <w:rsid w:val="00E61B24"/>
    <w:rsid w:val="00E6688E"/>
    <w:rsid w:val="00E76A10"/>
    <w:rsid w:val="00E7754D"/>
    <w:rsid w:val="00E96686"/>
    <w:rsid w:val="00EA21D1"/>
    <w:rsid w:val="00EB2877"/>
    <w:rsid w:val="00EE0826"/>
    <w:rsid w:val="00EF3CC8"/>
    <w:rsid w:val="00F10509"/>
    <w:rsid w:val="00F10D53"/>
    <w:rsid w:val="00F33CB8"/>
    <w:rsid w:val="00F34506"/>
    <w:rsid w:val="00F56B9A"/>
    <w:rsid w:val="00F679F0"/>
    <w:rsid w:val="00F72B9D"/>
    <w:rsid w:val="00F87F51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7"/>
        <o:r id="V:Rule6" type="connector" idref="#AutoShape 4"/>
        <o:r id="V:Rule7" type="connector" idref="#AutoShape 6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8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79</cp:revision>
  <cp:lastPrinted>2019-12-03T12:09:00Z</cp:lastPrinted>
  <dcterms:created xsi:type="dcterms:W3CDTF">2016-01-25T12:08:00Z</dcterms:created>
  <dcterms:modified xsi:type="dcterms:W3CDTF">2020-01-30T07:50:00Z</dcterms:modified>
</cp:coreProperties>
</file>