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000" w:firstRow="0" w:lastRow="0" w:firstColumn="0" w:lastColumn="0" w:noHBand="0" w:noVBand="0"/>
      </w:tblPr>
      <w:tblGrid>
        <w:gridCol w:w="4518"/>
      </w:tblGrid>
      <w:tr w:rsidR="009E4FE2" w:rsidRPr="009E4FE2" w:rsidTr="00810800">
        <w:trPr>
          <w:trHeight w:val="728"/>
        </w:trPr>
        <w:tc>
          <w:tcPr>
            <w:tcW w:w="4518" w:type="dxa"/>
            <w:vMerge w:val="restart"/>
          </w:tcPr>
          <w:p w:rsidR="009E4FE2" w:rsidRPr="009E4FE2" w:rsidRDefault="009E4FE2" w:rsidP="009E4FE2">
            <w:pPr>
              <w:widowControl w:val="0"/>
              <w:autoSpaceDE w:val="0"/>
              <w:autoSpaceDN w:val="0"/>
              <w:adjustRightInd w:val="0"/>
              <w:ind w:right="1741"/>
              <w:jc w:val="center"/>
              <w:rPr>
                <w:rFonts w:ascii="Arial" w:hAnsi="Arial" w:cs="Arial"/>
              </w:rPr>
            </w:pPr>
            <w:r w:rsidRPr="009E4FE2">
              <w:rPr>
                <w:rFonts w:ascii="Arial" w:hAnsi="Arial" w:cs="Arial"/>
              </w:rPr>
              <w:t xml:space="preserve">                         </w:t>
            </w:r>
            <w:r w:rsidRPr="009E4FE2">
              <w:rPr>
                <w:rFonts w:ascii="Arial" w:hAnsi="Arial" w:cs="Arial"/>
                <w:noProof/>
              </w:rPr>
              <w:drawing>
                <wp:inline distT="0" distB="0" distL="0" distR="0">
                  <wp:extent cx="447675" cy="609600"/>
                  <wp:effectExtent l="0" t="0" r="9525" b="0"/>
                  <wp:docPr id="1" name="Рисунок 1" descr="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зображение"/>
                          <pic:cNvPicPr>
                            <a:picLocks noChangeAspect="1" noChangeArrowheads="1"/>
                          </pic:cNvPicPr>
                        </pic:nvPicPr>
                        <pic:blipFill>
                          <a:blip r:embed="rId4" cstate="print">
                            <a:lum contrast="100000"/>
                            <a:extLst>
                              <a:ext uri="{28A0092B-C50C-407E-A947-70E740481C1C}">
                                <a14:useLocalDpi xmlns:a14="http://schemas.microsoft.com/office/drawing/2010/main" val="0"/>
                              </a:ext>
                            </a:extLst>
                          </a:blip>
                          <a:srcRect l="11339" t="9317" r="9547" b="14166"/>
                          <a:stretch>
                            <a:fillRect/>
                          </a:stretch>
                        </pic:blipFill>
                        <pic:spPr bwMode="auto">
                          <a:xfrm>
                            <a:off x="0" y="0"/>
                            <a:ext cx="447675" cy="609600"/>
                          </a:xfrm>
                          <a:prstGeom prst="rect">
                            <a:avLst/>
                          </a:prstGeom>
                          <a:noFill/>
                          <a:ln>
                            <a:noFill/>
                          </a:ln>
                        </pic:spPr>
                      </pic:pic>
                    </a:graphicData>
                  </a:graphic>
                </wp:inline>
              </w:drawing>
            </w:r>
          </w:p>
          <w:p w:rsidR="009E4FE2" w:rsidRPr="009E4FE2" w:rsidRDefault="009E4FE2" w:rsidP="009E4FE2">
            <w:pPr>
              <w:widowControl w:val="0"/>
              <w:shd w:val="clear" w:color="auto" w:fill="FFFFFF"/>
              <w:autoSpaceDE w:val="0"/>
              <w:autoSpaceDN w:val="0"/>
              <w:adjustRightInd w:val="0"/>
              <w:spacing w:before="220"/>
              <w:jc w:val="center"/>
              <w:rPr>
                <w:rFonts w:ascii="Arial Black" w:hAnsi="Arial Black" w:cs="Arial"/>
                <w:spacing w:val="40"/>
                <w:sz w:val="28"/>
                <w:szCs w:val="28"/>
              </w:rPr>
            </w:pPr>
            <w:r w:rsidRPr="009E4FE2">
              <w:rPr>
                <w:rFonts w:ascii="Arial Black" w:hAnsi="Arial Black" w:cs="Arial"/>
                <w:b/>
                <w:bCs/>
                <w:spacing w:val="40"/>
                <w:sz w:val="28"/>
                <w:szCs w:val="28"/>
              </w:rPr>
              <w:t xml:space="preserve">АДМИНИСТРАЦИЯ </w:t>
            </w:r>
          </w:p>
          <w:p w:rsidR="009E4FE2" w:rsidRPr="009E4FE2" w:rsidRDefault="009E4FE2" w:rsidP="009E4FE2">
            <w:pPr>
              <w:widowControl w:val="0"/>
              <w:shd w:val="clear" w:color="auto" w:fill="FFFFFF"/>
              <w:autoSpaceDE w:val="0"/>
              <w:autoSpaceDN w:val="0"/>
              <w:adjustRightInd w:val="0"/>
              <w:spacing w:before="194" w:line="293" w:lineRule="exact"/>
              <w:jc w:val="center"/>
              <w:rPr>
                <w:rFonts w:ascii="Arial Narrow" w:hAnsi="Arial Narrow" w:cs="Arial"/>
              </w:rPr>
            </w:pPr>
            <w:r w:rsidRPr="009E4FE2">
              <w:rPr>
                <w:rFonts w:ascii="Arial Narrow" w:hAnsi="Arial Narrow"/>
                <w:b/>
                <w:bCs/>
                <w:spacing w:val="-5"/>
              </w:rPr>
              <w:t>муниципального</w:t>
            </w:r>
            <w:r w:rsidRPr="009E4FE2">
              <w:rPr>
                <w:rFonts w:ascii="Arial Narrow" w:hAnsi="Arial Narrow" w:cs="Arial"/>
                <w:b/>
                <w:bCs/>
                <w:spacing w:val="-5"/>
              </w:rPr>
              <w:t xml:space="preserve"> </w:t>
            </w:r>
            <w:r w:rsidRPr="009E4FE2">
              <w:rPr>
                <w:rFonts w:ascii="Arial Narrow" w:hAnsi="Arial Narrow"/>
                <w:b/>
                <w:bCs/>
                <w:spacing w:val="-5"/>
              </w:rPr>
              <w:t>района</w:t>
            </w:r>
            <w:r w:rsidRPr="009E4FE2">
              <w:rPr>
                <w:rFonts w:ascii="Arial Narrow" w:hAnsi="Arial Narrow" w:cs="Arial"/>
                <w:b/>
                <w:bCs/>
                <w:spacing w:val="-5"/>
              </w:rPr>
              <w:t xml:space="preserve"> </w:t>
            </w:r>
            <w:r w:rsidRPr="009E4FE2">
              <w:rPr>
                <w:rFonts w:ascii="Arial Narrow" w:hAnsi="Arial Narrow"/>
                <w:b/>
                <w:bCs/>
                <w:spacing w:val="-5"/>
              </w:rPr>
              <w:t xml:space="preserve">Похвистневский </w:t>
            </w:r>
            <w:r w:rsidRPr="009E4FE2">
              <w:rPr>
                <w:rFonts w:ascii="Arial Narrow" w:hAnsi="Arial Narrow"/>
                <w:b/>
                <w:bCs/>
              </w:rPr>
              <w:t>Самарской</w:t>
            </w:r>
            <w:r w:rsidRPr="009E4FE2">
              <w:rPr>
                <w:rFonts w:ascii="Arial Narrow" w:hAnsi="Arial Narrow" w:cs="Arial"/>
                <w:b/>
                <w:bCs/>
              </w:rPr>
              <w:t xml:space="preserve"> </w:t>
            </w:r>
            <w:r w:rsidRPr="009E4FE2">
              <w:rPr>
                <w:rFonts w:ascii="Arial Narrow" w:hAnsi="Arial Narrow"/>
                <w:b/>
                <w:bCs/>
              </w:rPr>
              <w:t>области</w:t>
            </w:r>
          </w:p>
          <w:p w:rsidR="009E4FE2" w:rsidRPr="009E4FE2" w:rsidRDefault="009E4FE2" w:rsidP="009E4FE2">
            <w:pPr>
              <w:widowControl w:val="0"/>
              <w:shd w:val="clear" w:color="auto" w:fill="FFFFFF"/>
              <w:autoSpaceDE w:val="0"/>
              <w:autoSpaceDN w:val="0"/>
              <w:adjustRightInd w:val="0"/>
              <w:spacing w:before="278"/>
              <w:jc w:val="center"/>
              <w:rPr>
                <w:rFonts w:ascii="Arial" w:hAnsi="Arial" w:cs="Arial"/>
                <w:spacing w:val="20"/>
                <w:sz w:val="20"/>
                <w:szCs w:val="20"/>
              </w:rPr>
            </w:pPr>
            <w:r w:rsidRPr="009E4FE2">
              <w:rPr>
                <w:rFonts w:ascii="Arial" w:hAnsi="Arial"/>
                <w:b/>
                <w:bCs/>
                <w:spacing w:val="20"/>
                <w:sz w:val="32"/>
                <w:szCs w:val="32"/>
              </w:rPr>
              <w:t xml:space="preserve">РАСПОРЯЖЕНИЕ </w:t>
            </w:r>
          </w:p>
          <w:p w:rsidR="009E4FE2" w:rsidRPr="009E4FE2" w:rsidRDefault="00D2436C" w:rsidP="009E4FE2">
            <w:pPr>
              <w:widowControl w:val="0"/>
              <w:shd w:val="clear" w:color="auto" w:fill="FFFFFF"/>
              <w:tabs>
                <w:tab w:val="left" w:leader="underscore" w:pos="1925"/>
                <w:tab w:val="left" w:leader="underscore" w:pos="4147"/>
              </w:tabs>
              <w:autoSpaceDE w:val="0"/>
              <w:autoSpaceDN w:val="0"/>
              <w:adjustRightInd w:val="0"/>
              <w:spacing w:before="281"/>
              <w:ind w:left="180"/>
              <w:rPr>
                <w:rFonts w:ascii="Arial" w:hAnsi="Arial" w:cs="Arial"/>
                <w:sz w:val="20"/>
                <w:szCs w:val="20"/>
              </w:rPr>
            </w:pPr>
            <w:r>
              <w:rPr>
                <w:rFonts w:ascii="Arial" w:hAnsi="Arial" w:cs="Arial"/>
                <w:sz w:val="20"/>
                <w:szCs w:val="20"/>
              </w:rPr>
              <w:t xml:space="preserve">                  </w:t>
            </w:r>
            <w:bookmarkStart w:id="0" w:name="_GoBack"/>
            <w:bookmarkEnd w:id="0"/>
            <w:r>
              <w:rPr>
                <w:rFonts w:ascii="Arial" w:hAnsi="Arial" w:cs="Arial"/>
                <w:sz w:val="20"/>
                <w:szCs w:val="20"/>
              </w:rPr>
              <w:t xml:space="preserve">31.12.2019 </w:t>
            </w:r>
            <w:r w:rsidR="009E4FE2" w:rsidRPr="009E4FE2">
              <w:rPr>
                <w:rFonts w:ascii="Arial" w:hAnsi="Arial"/>
                <w:sz w:val="20"/>
                <w:szCs w:val="20"/>
              </w:rPr>
              <w:t>№</w:t>
            </w:r>
            <w:r w:rsidR="009E4FE2" w:rsidRPr="009E4FE2">
              <w:rPr>
                <w:rFonts w:ascii="Arial" w:hAnsi="Arial" w:cs="Arial"/>
                <w:sz w:val="20"/>
                <w:szCs w:val="20"/>
              </w:rPr>
              <w:t xml:space="preserve"> </w:t>
            </w:r>
            <w:r>
              <w:rPr>
                <w:rFonts w:ascii="Arial" w:hAnsi="Arial" w:cs="Arial"/>
                <w:sz w:val="20"/>
                <w:szCs w:val="20"/>
              </w:rPr>
              <w:t>338-р</w:t>
            </w:r>
          </w:p>
          <w:p w:rsidR="009E4FE2" w:rsidRPr="009E4FE2" w:rsidRDefault="009E4FE2" w:rsidP="009E4FE2">
            <w:pPr>
              <w:widowControl w:val="0"/>
              <w:shd w:val="clear" w:color="auto" w:fill="FFFFFF"/>
              <w:autoSpaceDE w:val="0"/>
              <w:autoSpaceDN w:val="0"/>
              <w:adjustRightInd w:val="0"/>
              <w:spacing w:before="252"/>
              <w:rPr>
                <w:rFonts w:ascii="Arial" w:hAnsi="Arial" w:cs="Arial"/>
                <w:sz w:val="20"/>
                <w:szCs w:val="20"/>
              </w:rPr>
            </w:pPr>
            <w:r w:rsidRPr="009E4FE2">
              <w:rPr>
                <w:rFonts w:ascii="Arial" w:hAnsi="Arial"/>
                <w:spacing w:val="-3"/>
                <w:sz w:val="20"/>
                <w:szCs w:val="20"/>
              </w:rPr>
              <w:t xml:space="preserve">                            г</w:t>
            </w:r>
            <w:r w:rsidRPr="009E4FE2">
              <w:rPr>
                <w:rFonts w:ascii="Arial" w:hAnsi="Arial" w:cs="Arial"/>
                <w:spacing w:val="-3"/>
                <w:sz w:val="20"/>
                <w:szCs w:val="20"/>
              </w:rPr>
              <w:t xml:space="preserve">. </w:t>
            </w:r>
            <w:r w:rsidRPr="009E4FE2">
              <w:rPr>
                <w:rFonts w:ascii="Arial" w:hAnsi="Arial"/>
                <w:spacing w:val="-3"/>
                <w:sz w:val="20"/>
                <w:szCs w:val="20"/>
              </w:rPr>
              <w:t>Похвистнево</w:t>
            </w:r>
          </w:p>
          <w:p w:rsidR="009E4FE2" w:rsidRPr="009E4FE2" w:rsidRDefault="009E4FE2" w:rsidP="009E4FE2">
            <w:pPr>
              <w:widowControl w:val="0"/>
              <w:autoSpaceDE w:val="0"/>
              <w:autoSpaceDN w:val="0"/>
              <w:adjustRightInd w:val="0"/>
              <w:spacing w:before="276"/>
              <w:ind w:left="185" w:right="-1"/>
              <w:rPr>
                <w:rFonts w:ascii="Arial" w:hAnsi="Arial" w:cs="Arial"/>
              </w:rPr>
            </w:pPr>
            <w:r w:rsidRPr="009E4FE2">
              <w:rPr>
                <w:rFonts w:ascii="Arial" w:hAnsi="Arial" w:cs="Arial"/>
                <w:noProof/>
              </w:rPr>
              <mc:AlternateContent>
                <mc:Choice Requires="wpg">
                  <w:drawing>
                    <wp:anchor distT="0" distB="0" distL="114300" distR="114300" simplePos="0" relativeHeight="251659264" behindDoc="0" locked="0" layoutInCell="1" allowOverlap="1">
                      <wp:simplePos x="0" y="0"/>
                      <wp:positionH relativeFrom="column">
                        <wp:posOffset>83185</wp:posOffset>
                      </wp:positionH>
                      <wp:positionV relativeFrom="paragraph">
                        <wp:posOffset>259080</wp:posOffset>
                      </wp:positionV>
                      <wp:extent cx="110490" cy="111125"/>
                      <wp:effectExtent l="13970" t="8890" r="8255" b="13970"/>
                      <wp:wrapNone/>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6"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387973" id="Группа 5" o:spid="_x0000_s1026" style="position:absolute;margin-left:6.55pt;margin-top:20.4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" strokeweight=".6pt"/>
                    </v:group>
                  </w:pict>
                </mc:Fallback>
              </mc:AlternateContent>
            </w:r>
            <w:r w:rsidRPr="009E4FE2">
              <w:rPr>
                <w:rFonts w:ascii="Arial" w:hAnsi="Arial" w:cs="Arial"/>
                <w:noProof/>
              </w:rPr>
              <mc:AlternateContent>
                <mc:Choice Requires="wpg">
                  <w:drawing>
                    <wp:anchor distT="0" distB="0" distL="114300" distR="114300" simplePos="0" relativeHeight="251660288" behindDoc="0" locked="0" layoutInCell="1" allowOverlap="1">
                      <wp:simplePos x="0" y="0"/>
                      <wp:positionH relativeFrom="column">
                        <wp:posOffset>2564765</wp:posOffset>
                      </wp:positionH>
                      <wp:positionV relativeFrom="paragraph">
                        <wp:posOffset>236220</wp:posOffset>
                      </wp:positionV>
                      <wp:extent cx="110490" cy="111125"/>
                      <wp:effectExtent l="10160" t="13970" r="12700" b="8255"/>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3"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02AF99" id="Группа 2" o:spid="_x0000_s1026" style="position:absolute;margin-left:201.95pt;margin-top:18.6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" strokeweight=".6pt"/>
                    </v:group>
                  </w:pict>
                </mc:Fallback>
              </mc:AlternateContent>
            </w:r>
            <w:r w:rsidRPr="009E4FE2">
              <w:rPr>
                <w:rFonts w:ascii="Arial" w:hAnsi="Arial" w:cs="Arial"/>
              </w:rPr>
              <w:t xml:space="preserve"> </w:t>
            </w:r>
          </w:p>
        </w:tc>
      </w:tr>
      <w:tr w:rsidR="009E4FE2" w:rsidRPr="009E4FE2" w:rsidTr="00810800">
        <w:trPr>
          <w:trHeight w:val="3878"/>
        </w:trPr>
        <w:tc>
          <w:tcPr>
            <w:tcW w:w="4518" w:type="dxa"/>
            <w:vMerge/>
          </w:tcPr>
          <w:p w:rsidR="009E4FE2" w:rsidRPr="009E4FE2" w:rsidRDefault="009E4FE2" w:rsidP="009E4FE2">
            <w:pPr>
              <w:widowControl w:val="0"/>
              <w:autoSpaceDE w:val="0"/>
              <w:autoSpaceDN w:val="0"/>
              <w:adjustRightInd w:val="0"/>
              <w:ind w:right="1741"/>
              <w:jc w:val="center"/>
              <w:rPr>
                <w:rFonts w:ascii="Arial" w:hAnsi="Arial" w:cs="Arial"/>
              </w:rPr>
            </w:pPr>
          </w:p>
        </w:tc>
      </w:tr>
    </w:tbl>
    <w:p w:rsidR="009E4FE2" w:rsidRPr="009E4FE2" w:rsidRDefault="00F73674" w:rsidP="009E4FE2">
      <w:pPr>
        <w:widowControl w:val="0"/>
        <w:autoSpaceDE w:val="0"/>
        <w:autoSpaceDN w:val="0"/>
        <w:adjustRightInd w:val="0"/>
        <w:ind w:left="180"/>
        <w:rPr>
          <w:sz w:val="28"/>
          <w:szCs w:val="28"/>
        </w:rPr>
      </w:pPr>
      <w:r>
        <w:rPr>
          <w:sz w:val="28"/>
          <w:szCs w:val="28"/>
        </w:rPr>
        <w:t>О внесении изменений в Р</w:t>
      </w:r>
      <w:r w:rsidR="009E4FE2" w:rsidRPr="009E4FE2">
        <w:rPr>
          <w:sz w:val="28"/>
          <w:szCs w:val="28"/>
        </w:rPr>
        <w:t xml:space="preserve">аспоряжение </w:t>
      </w:r>
    </w:p>
    <w:p w:rsidR="009E4FE2" w:rsidRPr="009E4FE2" w:rsidRDefault="009E4FE2" w:rsidP="009E4FE2">
      <w:pPr>
        <w:widowControl w:val="0"/>
        <w:autoSpaceDE w:val="0"/>
        <w:autoSpaceDN w:val="0"/>
        <w:adjustRightInd w:val="0"/>
        <w:ind w:left="180"/>
        <w:rPr>
          <w:sz w:val="28"/>
          <w:szCs w:val="28"/>
        </w:rPr>
      </w:pPr>
      <w:r w:rsidRPr="009E4FE2">
        <w:rPr>
          <w:sz w:val="28"/>
          <w:szCs w:val="28"/>
        </w:rPr>
        <w:t xml:space="preserve">от 29.12.2017 г. №276-р «Об утверждении </w:t>
      </w:r>
    </w:p>
    <w:p w:rsidR="009E4FE2" w:rsidRPr="009E4FE2" w:rsidRDefault="009E4FE2" w:rsidP="009E4FE2">
      <w:pPr>
        <w:widowControl w:val="0"/>
        <w:autoSpaceDE w:val="0"/>
        <w:autoSpaceDN w:val="0"/>
        <w:adjustRightInd w:val="0"/>
        <w:ind w:left="180"/>
        <w:rPr>
          <w:sz w:val="28"/>
          <w:szCs w:val="28"/>
        </w:rPr>
      </w:pPr>
      <w:r w:rsidRPr="009E4FE2">
        <w:rPr>
          <w:sz w:val="28"/>
          <w:szCs w:val="28"/>
        </w:rPr>
        <w:t>учетной политики»</w:t>
      </w:r>
    </w:p>
    <w:p w:rsidR="009E4FE2" w:rsidRPr="009E4FE2" w:rsidRDefault="009E4FE2" w:rsidP="009E4FE2">
      <w:pPr>
        <w:widowControl w:val="0"/>
        <w:autoSpaceDE w:val="0"/>
        <w:autoSpaceDN w:val="0"/>
        <w:adjustRightInd w:val="0"/>
        <w:ind w:left="180"/>
        <w:rPr>
          <w:sz w:val="28"/>
          <w:szCs w:val="28"/>
        </w:rPr>
      </w:pPr>
    </w:p>
    <w:p w:rsidR="009E4FE2" w:rsidRPr="009E4FE2" w:rsidRDefault="009E4FE2" w:rsidP="009E4FE2">
      <w:pPr>
        <w:widowControl w:val="0"/>
        <w:autoSpaceDE w:val="0"/>
        <w:autoSpaceDN w:val="0"/>
        <w:adjustRightInd w:val="0"/>
        <w:rPr>
          <w:b/>
          <w:sz w:val="28"/>
          <w:szCs w:val="28"/>
        </w:rPr>
      </w:pPr>
      <w:r w:rsidRPr="009E4FE2">
        <w:rPr>
          <w:sz w:val="28"/>
          <w:szCs w:val="28"/>
        </w:rPr>
        <w:tab/>
      </w:r>
      <w:r w:rsidRPr="009E4FE2">
        <w:rPr>
          <w:sz w:val="28"/>
          <w:szCs w:val="28"/>
        </w:rPr>
        <w:tab/>
      </w:r>
    </w:p>
    <w:p w:rsidR="009E4FE2" w:rsidRDefault="009E4FE2" w:rsidP="00FC06AA">
      <w:pPr>
        <w:widowControl w:val="0"/>
        <w:autoSpaceDE w:val="0"/>
        <w:autoSpaceDN w:val="0"/>
        <w:adjustRightInd w:val="0"/>
        <w:spacing w:line="360" w:lineRule="auto"/>
        <w:ind w:left="180"/>
        <w:jc w:val="both"/>
        <w:rPr>
          <w:sz w:val="28"/>
          <w:szCs w:val="28"/>
        </w:rPr>
      </w:pPr>
      <w:r w:rsidRPr="009E4FE2">
        <w:rPr>
          <w:sz w:val="28"/>
          <w:szCs w:val="28"/>
        </w:rPr>
        <w:t xml:space="preserve"> </w:t>
      </w:r>
      <w:r w:rsidRPr="009E4FE2">
        <w:rPr>
          <w:sz w:val="28"/>
          <w:szCs w:val="28"/>
        </w:rPr>
        <w:tab/>
      </w:r>
      <w:r w:rsidRPr="00D835AE">
        <w:rPr>
          <w:sz w:val="28"/>
          <w:szCs w:val="28"/>
        </w:rPr>
        <w:t>В связи, с вступлением в силу с  1 января 2020 года</w:t>
      </w:r>
      <w:r w:rsidRPr="00D835AE">
        <w:rPr>
          <w:sz w:val="28"/>
          <w:szCs w:val="28"/>
          <w:vertAlign w:val="superscript"/>
        </w:rPr>
        <w:t> </w:t>
      </w:r>
      <w:r w:rsidRPr="00D835AE">
        <w:rPr>
          <w:sz w:val="28"/>
          <w:szCs w:val="28"/>
          <w:lang w:bidi="mr-IN"/>
        </w:rPr>
        <w:t xml:space="preserve">Федерального  </w:t>
      </w:r>
      <w:hyperlink r:id="rId5" w:history="1">
        <w:r w:rsidRPr="00D835AE">
          <w:rPr>
            <w:sz w:val="28"/>
            <w:szCs w:val="28"/>
            <w:lang w:bidi="mr-IN"/>
          </w:rPr>
          <w:t>стандарт</w:t>
        </w:r>
      </w:hyperlink>
      <w:r w:rsidRPr="00D835AE">
        <w:rPr>
          <w:sz w:val="28"/>
          <w:szCs w:val="28"/>
          <w:lang w:bidi="mr-IN"/>
        </w:rPr>
        <w:t>а бухгалтерского учета для организаций государственного сектора "Бюджетная информация в бухгалтерской (финансовой) отчетности", утвержденного приказом Ми</w:t>
      </w:r>
      <w:r>
        <w:rPr>
          <w:sz w:val="28"/>
          <w:szCs w:val="28"/>
          <w:lang w:bidi="mr-IN"/>
        </w:rPr>
        <w:t>нфина</w:t>
      </w:r>
      <w:r w:rsidRPr="00D835AE">
        <w:rPr>
          <w:sz w:val="28"/>
          <w:szCs w:val="28"/>
          <w:lang w:bidi="mr-IN"/>
        </w:rPr>
        <w:t xml:space="preserve"> Российской Федерации от 28.02.2018 № 37н, </w:t>
      </w:r>
      <w:r>
        <w:rPr>
          <w:sz w:val="28"/>
          <w:szCs w:val="28"/>
          <w:lang w:bidi="mr-IN"/>
        </w:rPr>
        <w:t xml:space="preserve">Федерального </w:t>
      </w:r>
      <w:hyperlink r:id="rId6" w:history="1">
        <w:r w:rsidRPr="00244CE1">
          <w:rPr>
            <w:sz w:val="28"/>
            <w:szCs w:val="28"/>
            <w:lang w:bidi="mr-IN"/>
          </w:rPr>
          <w:t>стандарт</w:t>
        </w:r>
      </w:hyperlink>
      <w:r w:rsidRPr="00244CE1">
        <w:rPr>
          <w:sz w:val="28"/>
          <w:szCs w:val="28"/>
          <w:lang w:bidi="mr-IN"/>
        </w:rPr>
        <w:t xml:space="preserve">а </w:t>
      </w:r>
      <w:r>
        <w:rPr>
          <w:sz w:val="28"/>
          <w:szCs w:val="28"/>
          <w:lang w:bidi="mr-IN"/>
        </w:rPr>
        <w:t xml:space="preserve">бухгалтерского учета для организаций государственного сектора "Запасы", утвержденного </w:t>
      </w:r>
      <w:r w:rsidRPr="00D835AE">
        <w:rPr>
          <w:sz w:val="28"/>
          <w:szCs w:val="28"/>
          <w:lang w:bidi="mr-IN"/>
        </w:rPr>
        <w:t>приказом Ми</w:t>
      </w:r>
      <w:r>
        <w:rPr>
          <w:sz w:val="28"/>
          <w:szCs w:val="28"/>
          <w:lang w:bidi="mr-IN"/>
        </w:rPr>
        <w:t>нфина</w:t>
      </w:r>
      <w:r w:rsidRPr="00D835AE">
        <w:rPr>
          <w:sz w:val="28"/>
          <w:szCs w:val="28"/>
          <w:lang w:bidi="mr-IN"/>
        </w:rPr>
        <w:t xml:space="preserve"> Российской Федерации</w:t>
      </w:r>
      <w:r>
        <w:rPr>
          <w:sz w:val="28"/>
          <w:szCs w:val="28"/>
          <w:lang w:bidi="mr-IN"/>
        </w:rPr>
        <w:t xml:space="preserve"> от07.12.2018 № 256н, </w:t>
      </w:r>
      <w:r w:rsidRPr="00D835AE">
        <w:rPr>
          <w:sz w:val="28"/>
          <w:szCs w:val="28"/>
          <w:shd w:val="clear" w:color="auto" w:fill="FFFFFF"/>
        </w:rPr>
        <w:t xml:space="preserve"> </w:t>
      </w:r>
      <w:r w:rsidRPr="000C13A3">
        <w:rPr>
          <w:sz w:val="28"/>
          <w:szCs w:val="28"/>
          <w:shd w:val="clear" w:color="auto" w:fill="FFFFFF"/>
        </w:rPr>
        <w:t>в</w:t>
      </w:r>
      <w:r w:rsidRPr="000C13A3">
        <w:rPr>
          <w:sz w:val="28"/>
          <w:szCs w:val="28"/>
        </w:rPr>
        <w:t>о исполнение Закона от 06.12.2011 № 402-ФЗ "О бухгалтерском учете", Инструкции по применению  Единого плана счетов бухгалтерского учета от 01.12.2010 № 157н</w:t>
      </w:r>
      <w:r w:rsidR="00FC06AA">
        <w:rPr>
          <w:sz w:val="28"/>
          <w:szCs w:val="28"/>
        </w:rPr>
        <w:t>,</w:t>
      </w:r>
      <w:r>
        <w:rPr>
          <w:sz w:val="28"/>
          <w:szCs w:val="28"/>
        </w:rPr>
        <w:t xml:space="preserve"> </w:t>
      </w:r>
      <w:r w:rsidR="000E2B74">
        <w:rPr>
          <w:sz w:val="28"/>
          <w:szCs w:val="28"/>
        </w:rPr>
        <w:t>внести в Р</w:t>
      </w:r>
      <w:r w:rsidRPr="009E4FE2">
        <w:rPr>
          <w:sz w:val="28"/>
          <w:szCs w:val="28"/>
        </w:rPr>
        <w:t xml:space="preserve">аспоряжение от 29.12.2017 № 276-р  «Об учетной политике» </w:t>
      </w:r>
      <w:r w:rsidR="00FC06AA">
        <w:rPr>
          <w:sz w:val="28"/>
          <w:szCs w:val="28"/>
        </w:rPr>
        <w:t xml:space="preserve"> </w:t>
      </w:r>
      <w:r w:rsidR="00FC06AA" w:rsidRPr="00D2436C">
        <w:rPr>
          <w:sz w:val="28"/>
          <w:szCs w:val="28"/>
        </w:rPr>
        <w:t>(с изменениями от 29.12.2018 г. №</w:t>
      </w:r>
      <w:r w:rsidR="00F73674" w:rsidRPr="00D2436C">
        <w:rPr>
          <w:sz w:val="28"/>
          <w:szCs w:val="28"/>
        </w:rPr>
        <w:t>353-р</w:t>
      </w:r>
      <w:r w:rsidR="00FC06AA" w:rsidRPr="00D2436C">
        <w:rPr>
          <w:sz w:val="28"/>
          <w:szCs w:val="28"/>
        </w:rPr>
        <w:t xml:space="preserve">) </w:t>
      </w:r>
      <w:r w:rsidR="00F73674">
        <w:rPr>
          <w:sz w:val="28"/>
          <w:szCs w:val="28"/>
        </w:rPr>
        <w:t>следующие изменения:</w:t>
      </w:r>
    </w:p>
    <w:p w:rsidR="00F73674" w:rsidRPr="009E4FE2" w:rsidRDefault="00F73674" w:rsidP="00F73674">
      <w:pPr>
        <w:spacing w:line="360" w:lineRule="auto"/>
        <w:ind w:firstLine="708"/>
        <w:jc w:val="both"/>
        <w:rPr>
          <w:sz w:val="28"/>
          <w:szCs w:val="28"/>
        </w:rPr>
      </w:pPr>
      <w:r>
        <w:rPr>
          <w:sz w:val="28"/>
          <w:szCs w:val="28"/>
        </w:rPr>
        <w:t xml:space="preserve">1. </w:t>
      </w:r>
      <w:r w:rsidRPr="009E4FE2">
        <w:rPr>
          <w:sz w:val="28"/>
          <w:szCs w:val="28"/>
        </w:rPr>
        <w:t xml:space="preserve">Раздел </w:t>
      </w:r>
      <w:r w:rsidRPr="009E4FE2">
        <w:rPr>
          <w:sz w:val="28"/>
          <w:szCs w:val="28"/>
          <w:lang w:val="en-US"/>
        </w:rPr>
        <w:t>III</w:t>
      </w:r>
      <w:r w:rsidRPr="009E4FE2">
        <w:rPr>
          <w:sz w:val="28"/>
          <w:szCs w:val="28"/>
        </w:rPr>
        <w:t xml:space="preserve"> «Правила документооборота» дополнить пунктом следующего содержания:</w:t>
      </w:r>
    </w:p>
    <w:p w:rsidR="00F73674" w:rsidRPr="009E4FE2" w:rsidRDefault="00F73674" w:rsidP="00F73674">
      <w:pPr>
        <w:autoSpaceDE w:val="0"/>
        <w:autoSpaceDN w:val="0"/>
        <w:adjustRightInd w:val="0"/>
        <w:spacing w:line="360" w:lineRule="auto"/>
        <w:ind w:firstLine="708"/>
        <w:jc w:val="both"/>
        <w:rPr>
          <w:rFonts w:cs="Courier New"/>
          <w:sz w:val="28"/>
          <w:szCs w:val="28"/>
        </w:rPr>
      </w:pPr>
      <w:r w:rsidRPr="009E4FE2">
        <w:rPr>
          <w:rFonts w:cs="Courier New"/>
          <w:sz w:val="28"/>
          <w:szCs w:val="28"/>
          <w:lang w:bidi="mr-IN"/>
        </w:rPr>
        <w:t xml:space="preserve"> «13.4. </w:t>
      </w:r>
      <w:r w:rsidRPr="009E4FE2">
        <w:rPr>
          <w:rFonts w:cs="Courier New"/>
          <w:sz w:val="28"/>
          <w:szCs w:val="28"/>
        </w:rPr>
        <w:t xml:space="preserve">Требования главного бухгалтера в письменной </w:t>
      </w:r>
      <w:proofErr w:type="gramStart"/>
      <w:r w:rsidRPr="009E4FE2">
        <w:rPr>
          <w:rFonts w:cs="Courier New"/>
          <w:sz w:val="28"/>
          <w:szCs w:val="28"/>
        </w:rPr>
        <w:t>форме  о</w:t>
      </w:r>
      <w:proofErr w:type="gramEnd"/>
      <w:r w:rsidRPr="009E4FE2">
        <w:rPr>
          <w:rFonts w:cs="Courier New"/>
          <w:sz w:val="28"/>
          <w:szCs w:val="28"/>
        </w:rPr>
        <w:t xml:space="preserve"> соблюдении фактов  хозяйственной   жизни,   представления  первичных  документов   (сведений), необходимых  для  ведения  бухгалтерского  учета,  обязательны  для  всех сотрудников  учреждения. </w:t>
      </w:r>
    </w:p>
    <w:p w:rsidR="00F73674" w:rsidRPr="009E4FE2" w:rsidRDefault="00F73674" w:rsidP="00F73674">
      <w:pPr>
        <w:autoSpaceDE w:val="0"/>
        <w:autoSpaceDN w:val="0"/>
        <w:adjustRightInd w:val="0"/>
        <w:spacing w:line="360" w:lineRule="auto"/>
        <w:ind w:firstLine="708"/>
        <w:jc w:val="both"/>
        <w:rPr>
          <w:rFonts w:cs="Courier New"/>
          <w:sz w:val="28"/>
          <w:szCs w:val="28"/>
        </w:rPr>
      </w:pPr>
      <w:r w:rsidRPr="009E4FE2">
        <w:rPr>
          <w:rFonts w:cs="Courier New"/>
          <w:sz w:val="28"/>
          <w:szCs w:val="28"/>
        </w:rPr>
        <w:t xml:space="preserve"> </w:t>
      </w:r>
      <w:proofErr w:type="gramStart"/>
      <w:r w:rsidRPr="009E4FE2">
        <w:rPr>
          <w:rFonts w:cs="Courier New"/>
          <w:sz w:val="28"/>
          <w:szCs w:val="28"/>
        </w:rPr>
        <w:t>В  случае</w:t>
      </w:r>
      <w:proofErr w:type="gramEnd"/>
      <w:r w:rsidRPr="009E4FE2">
        <w:rPr>
          <w:rFonts w:cs="Courier New"/>
          <w:sz w:val="28"/>
          <w:szCs w:val="28"/>
        </w:rPr>
        <w:t xml:space="preserve">  нарушения  сотрудниками  положений    учетной политики, порядка документального оформления фактов хозяйственной  жизни, </w:t>
      </w:r>
      <w:r w:rsidRPr="009E4FE2">
        <w:rPr>
          <w:rFonts w:cs="Courier New"/>
          <w:sz w:val="28"/>
          <w:szCs w:val="28"/>
        </w:rPr>
        <w:lastRenderedPageBreak/>
        <w:t xml:space="preserve">представления   документов   (сведений),    необходимых    для    ведения бухгалтерского учета,  главный бухгалтер предъявляет  такому  сотруднику в письменной форме требование об устранении нарушения. </w:t>
      </w:r>
    </w:p>
    <w:p w:rsidR="00F73674" w:rsidRPr="009E4FE2" w:rsidRDefault="00F73674" w:rsidP="00F73674">
      <w:pPr>
        <w:autoSpaceDE w:val="0"/>
        <w:autoSpaceDN w:val="0"/>
        <w:adjustRightInd w:val="0"/>
        <w:spacing w:line="360" w:lineRule="auto"/>
        <w:ind w:firstLine="708"/>
        <w:jc w:val="both"/>
        <w:rPr>
          <w:rFonts w:cs="Courier New"/>
          <w:sz w:val="28"/>
          <w:szCs w:val="28"/>
        </w:rPr>
      </w:pPr>
      <w:r w:rsidRPr="009E4FE2">
        <w:rPr>
          <w:rFonts w:cs="Courier New"/>
          <w:sz w:val="28"/>
          <w:szCs w:val="28"/>
        </w:rPr>
        <w:t xml:space="preserve">После ознакомления с требованиями главного бухгалтера сотрудник обязан устранить нарушение </w:t>
      </w:r>
      <w:proofErr w:type="gramStart"/>
      <w:r w:rsidRPr="009E4FE2">
        <w:rPr>
          <w:rFonts w:cs="Courier New"/>
          <w:sz w:val="28"/>
          <w:szCs w:val="28"/>
        </w:rPr>
        <w:t>в  течение</w:t>
      </w:r>
      <w:proofErr w:type="gramEnd"/>
      <w:r w:rsidRPr="009E4FE2">
        <w:rPr>
          <w:rFonts w:cs="Courier New"/>
          <w:sz w:val="28"/>
          <w:szCs w:val="28"/>
        </w:rPr>
        <w:t xml:space="preserve">  срока,  согласованного  с главным бухгалтером.</w:t>
      </w:r>
    </w:p>
    <w:p w:rsidR="00F73674" w:rsidRPr="009E4FE2" w:rsidRDefault="00F73674" w:rsidP="00F73674">
      <w:pPr>
        <w:autoSpaceDE w:val="0"/>
        <w:autoSpaceDN w:val="0"/>
        <w:adjustRightInd w:val="0"/>
        <w:spacing w:line="360" w:lineRule="auto"/>
        <w:ind w:firstLine="708"/>
        <w:jc w:val="both"/>
        <w:rPr>
          <w:rFonts w:cs="Courier New"/>
          <w:sz w:val="28"/>
          <w:szCs w:val="28"/>
        </w:rPr>
      </w:pPr>
      <w:r w:rsidRPr="009E4FE2">
        <w:rPr>
          <w:rFonts w:cs="Courier New"/>
          <w:sz w:val="28"/>
          <w:szCs w:val="28"/>
        </w:rPr>
        <w:t xml:space="preserve">В случае отказа сотрудника от ознакомления с </w:t>
      </w:r>
      <w:proofErr w:type="gramStart"/>
      <w:r w:rsidRPr="009E4FE2">
        <w:rPr>
          <w:rFonts w:cs="Courier New"/>
          <w:sz w:val="28"/>
          <w:szCs w:val="28"/>
        </w:rPr>
        <w:t>требованиями  об</w:t>
      </w:r>
      <w:proofErr w:type="gramEnd"/>
      <w:r w:rsidRPr="009E4FE2">
        <w:rPr>
          <w:rFonts w:cs="Courier New"/>
          <w:sz w:val="28"/>
          <w:szCs w:val="28"/>
        </w:rPr>
        <w:t xml:space="preserve"> устранении нарушений главный бухгалтер в  течение  одного  рабочего  дня готовит  докладную записку на имя руководителя учреждения  о  привлечении   такого   сотрудника   к  дисциплинарной ответственности. </w:t>
      </w:r>
    </w:p>
    <w:p w:rsidR="00F73674" w:rsidRPr="009E4FE2" w:rsidRDefault="00F73674" w:rsidP="00F73674">
      <w:pPr>
        <w:autoSpaceDE w:val="0"/>
        <w:autoSpaceDN w:val="0"/>
        <w:adjustRightInd w:val="0"/>
        <w:spacing w:line="360" w:lineRule="auto"/>
        <w:jc w:val="both"/>
        <w:rPr>
          <w:rFonts w:cs="Courier New"/>
          <w:sz w:val="28"/>
          <w:szCs w:val="28"/>
        </w:rPr>
      </w:pPr>
      <w:r w:rsidRPr="009E4FE2">
        <w:rPr>
          <w:rFonts w:cs="Courier New"/>
          <w:sz w:val="28"/>
          <w:szCs w:val="28"/>
        </w:rPr>
        <w:t xml:space="preserve"> </w:t>
      </w:r>
      <w:r w:rsidRPr="009E4FE2">
        <w:rPr>
          <w:rFonts w:cs="Courier New"/>
          <w:sz w:val="28"/>
          <w:szCs w:val="28"/>
        </w:rPr>
        <w:tab/>
        <w:t xml:space="preserve"> К </w:t>
      </w:r>
      <w:proofErr w:type="gramStart"/>
      <w:r w:rsidRPr="009E4FE2">
        <w:rPr>
          <w:rFonts w:cs="Courier New"/>
          <w:sz w:val="28"/>
          <w:szCs w:val="28"/>
        </w:rPr>
        <w:t>т</w:t>
      </w:r>
      <w:r w:rsidRPr="009E4FE2">
        <w:rPr>
          <w:rFonts w:cs="Courier New"/>
          <w:color w:val="000000"/>
          <w:sz w:val="28"/>
          <w:szCs w:val="28"/>
          <w:shd w:val="clear" w:color="auto" w:fill="FFFFFF"/>
        </w:rPr>
        <w:t>ребованиям  относительно</w:t>
      </w:r>
      <w:proofErr w:type="gramEnd"/>
      <w:r w:rsidRPr="009E4FE2">
        <w:rPr>
          <w:rFonts w:cs="Courier New"/>
          <w:color w:val="000000"/>
          <w:sz w:val="28"/>
          <w:szCs w:val="28"/>
          <w:shd w:val="clear" w:color="auto" w:fill="FFFFFF"/>
        </w:rPr>
        <w:t xml:space="preserve"> </w:t>
      </w:r>
      <w:r w:rsidRPr="009E4FE2">
        <w:rPr>
          <w:rFonts w:cs="Courier New"/>
          <w:sz w:val="28"/>
          <w:szCs w:val="28"/>
        </w:rPr>
        <w:t xml:space="preserve">соблюдения фактов  хозяйственной   жизни,   представления  первичных  документов   (сведений)  </w:t>
      </w:r>
      <w:r w:rsidRPr="009E4FE2">
        <w:rPr>
          <w:rFonts w:cs="Courier New"/>
          <w:color w:val="000000"/>
          <w:sz w:val="28"/>
          <w:szCs w:val="28"/>
          <w:shd w:val="clear" w:color="auto" w:fill="FFFFFF"/>
        </w:rPr>
        <w:t>относятся:</w:t>
      </w:r>
    </w:p>
    <w:p w:rsidR="00F73674" w:rsidRPr="009E4FE2" w:rsidRDefault="00F73674" w:rsidP="00F73674">
      <w:pPr>
        <w:autoSpaceDE w:val="0"/>
        <w:autoSpaceDN w:val="0"/>
        <w:adjustRightInd w:val="0"/>
        <w:spacing w:line="360" w:lineRule="auto"/>
        <w:ind w:firstLine="708"/>
        <w:jc w:val="both"/>
        <w:rPr>
          <w:color w:val="000000"/>
          <w:sz w:val="28"/>
          <w:szCs w:val="28"/>
          <w:shd w:val="clear" w:color="auto" w:fill="FFFFFF"/>
        </w:rPr>
      </w:pPr>
      <w:r w:rsidRPr="009E4FE2">
        <w:rPr>
          <w:color w:val="000000"/>
          <w:sz w:val="28"/>
          <w:szCs w:val="28"/>
          <w:shd w:val="clear" w:color="auto" w:fill="FFFFFF"/>
        </w:rPr>
        <w:t xml:space="preserve">- не обеспечено оформление первичных учетных документов по поступлению объекта нефинансового актива, выполненной работы, оказанной </w:t>
      </w:r>
      <w:proofErr w:type="gramStart"/>
      <w:r w:rsidRPr="009E4FE2">
        <w:rPr>
          <w:color w:val="000000"/>
          <w:sz w:val="28"/>
          <w:szCs w:val="28"/>
          <w:shd w:val="clear" w:color="auto" w:fill="FFFFFF"/>
        </w:rPr>
        <w:t>услуги:  накладные</w:t>
      </w:r>
      <w:proofErr w:type="gramEnd"/>
      <w:r w:rsidRPr="009E4FE2">
        <w:rPr>
          <w:color w:val="000000"/>
          <w:sz w:val="28"/>
          <w:szCs w:val="28"/>
          <w:shd w:val="clear" w:color="auto" w:fill="FFFFFF"/>
        </w:rPr>
        <w:t>, акты выполненных работ, оказанных услуг, содержащие все необходимые для первичного учетного документа реквизиты;</w:t>
      </w:r>
    </w:p>
    <w:p w:rsidR="00F73674" w:rsidRPr="009E4FE2" w:rsidRDefault="00F73674" w:rsidP="00F73674">
      <w:pPr>
        <w:autoSpaceDE w:val="0"/>
        <w:autoSpaceDN w:val="0"/>
        <w:adjustRightInd w:val="0"/>
        <w:spacing w:line="360" w:lineRule="auto"/>
        <w:ind w:firstLine="708"/>
        <w:jc w:val="both"/>
        <w:rPr>
          <w:sz w:val="28"/>
          <w:szCs w:val="28"/>
          <w:lang w:bidi="mr-IN"/>
        </w:rPr>
      </w:pPr>
      <w:r w:rsidRPr="009E4FE2">
        <w:rPr>
          <w:sz w:val="28"/>
          <w:szCs w:val="28"/>
          <w:shd w:val="clear" w:color="auto" w:fill="FFFFFF"/>
        </w:rPr>
        <w:t>- нарушение сроков составления и представления в МКУ «Централизованная бухгалтерия» первичных учетных документов в соответствии с порядком и сроками передачи первичных учетных документов для отражения в бухгалтерском учете, являющегося приложением к Учетной политике;</w:t>
      </w:r>
    </w:p>
    <w:p w:rsidR="00F73674" w:rsidRPr="009E4FE2" w:rsidRDefault="00F73674" w:rsidP="00F73674">
      <w:pPr>
        <w:spacing w:line="360" w:lineRule="auto"/>
        <w:jc w:val="both"/>
        <w:rPr>
          <w:color w:val="000000"/>
          <w:sz w:val="28"/>
          <w:szCs w:val="28"/>
          <w:shd w:val="clear" w:color="auto" w:fill="FFFFFF"/>
        </w:rPr>
      </w:pPr>
      <w:r w:rsidRPr="009E4FE2">
        <w:rPr>
          <w:color w:val="000000"/>
          <w:sz w:val="28"/>
          <w:szCs w:val="28"/>
          <w:shd w:val="clear" w:color="auto" w:fill="FFFFFF"/>
        </w:rPr>
        <w:tab/>
        <w:t xml:space="preserve">- недостоверное отражение в первичных учетных документах информации о поставленном товаре, выполненной работе, оказанной услуге; </w:t>
      </w:r>
    </w:p>
    <w:p w:rsidR="00F73674" w:rsidRPr="009E4FE2" w:rsidRDefault="00F73674" w:rsidP="00F73674">
      <w:pPr>
        <w:spacing w:line="360" w:lineRule="auto"/>
        <w:jc w:val="both"/>
        <w:rPr>
          <w:color w:val="000000"/>
          <w:sz w:val="28"/>
          <w:szCs w:val="28"/>
          <w:shd w:val="clear" w:color="auto" w:fill="FFFFFF"/>
        </w:rPr>
      </w:pPr>
      <w:r w:rsidRPr="009E4FE2">
        <w:rPr>
          <w:color w:val="000000"/>
          <w:sz w:val="28"/>
          <w:szCs w:val="28"/>
          <w:shd w:val="clear" w:color="auto" w:fill="FFFFFF"/>
        </w:rPr>
        <w:tab/>
        <w:t>- приняты к бухгалтерскому учету документы, которыми оформлены не имевшие места факты хозяйственной жизни;</w:t>
      </w:r>
    </w:p>
    <w:p w:rsidR="00F73674" w:rsidRPr="009E4FE2" w:rsidRDefault="00F73674" w:rsidP="00F73674">
      <w:pPr>
        <w:spacing w:line="360" w:lineRule="auto"/>
        <w:jc w:val="both"/>
        <w:rPr>
          <w:color w:val="000000"/>
          <w:sz w:val="28"/>
          <w:szCs w:val="28"/>
          <w:shd w:val="clear" w:color="auto" w:fill="FFFFFF"/>
        </w:rPr>
      </w:pPr>
      <w:r w:rsidRPr="009E4FE2">
        <w:rPr>
          <w:color w:val="000000"/>
          <w:sz w:val="28"/>
          <w:szCs w:val="28"/>
          <w:shd w:val="clear" w:color="auto" w:fill="FFFFFF"/>
        </w:rPr>
        <w:tab/>
        <w:t>- своевременность, полнота и точность отражения бухгалтерских записей по счетам бухгалтерского учета в главной книге, а также их соответствие показателям, отраженным в бухгалтерской (финансовой) отчетности.</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Pr>
          <w:rFonts w:eastAsiaTheme="minorHAnsi"/>
          <w:sz w:val="28"/>
          <w:szCs w:val="28"/>
          <w:lang w:eastAsia="en-US"/>
        </w:rPr>
        <w:t xml:space="preserve">2. </w:t>
      </w:r>
      <w:r w:rsidRPr="009E4FE2">
        <w:rPr>
          <w:rFonts w:eastAsiaTheme="minorHAnsi"/>
          <w:sz w:val="28"/>
          <w:szCs w:val="28"/>
          <w:lang w:eastAsia="en-US"/>
        </w:rPr>
        <w:t xml:space="preserve">В Разделе </w:t>
      </w:r>
      <w:r w:rsidRPr="009E4FE2">
        <w:rPr>
          <w:rFonts w:eastAsiaTheme="minorHAnsi"/>
          <w:sz w:val="28"/>
          <w:szCs w:val="28"/>
          <w:lang w:val="en-US" w:eastAsia="en-US"/>
        </w:rPr>
        <w:t>V</w:t>
      </w:r>
      <w:r w:rsidRPr="009E4FE2">
        <w:rPr>
          <w:rFonts w:eastAsiaTheme="minorHAnsi"/>
          <w:sz w:val="28"/>
          <w:szCs w:val="28"/>
          <w:lang w:eastAsia="en-US"/>
        </w:rPr>
        <w:t xml:space="preserve"> «Учет отдельных видов имущества и обязательств» пункт 3 «Материальные запасы» изложить в следующей редакции:</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3.1. К материальным запасам относятся материальные ценности, используемые в текущей деятельности Учреждения в течение периода, не превышающего 12 месяцев, независимо от их стоимости;</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lastRenderedPageBreak/>
        <w:t>3.2. В зависимости от характера запасов, порядка их приобретения и (или) использования единицей запасов является номенклатурная единица.</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3.3. Принятие к бухгалтерскому учету приобретенных (полученных) материальных запасов осуществляется на основании первичных учетных документов.</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 xml:space="preserve"> 3.4. Первоначальная стоимость материальных запасов, приобретенных в результате обменных операций, определяется в сумме фактически произведенных вложений, формируемых с учетом сумм налога на добавленную стоимость (далее - НДС), предъявленных субъекту учета поставщиками (исполнителями, продавцами), которые включают цену приобретения и иные расходы, предусмотренные договором с поставщиком (исполнителем, продавцом).</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3.5. Первоначальной стоимостью материальных запасов, приобретаемых в результате необменной операции, является их справедливая стоимость на дату приобретения, определяемая методом рыночных цен. При использовании метода рыночных цен справедливая стоимость материальных запасов определяется на основании текущих рыночных цен или данных о недавних сделках с аналогичными или схожими активами, совершенных без отсрочки платежа.</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3.6. Материальные запасы, полученные субъектом учета от собственника (учредителя) или от иной организации бюджетной сферы, подлежат признанию в бухгалтерском учете в оценке, определенной передающей стороной (собственником (учредителем), - по стоимости, отраженной в передаточных документах.</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 xml:space="preserve">3.7. Выбытие материальных запасов из одной группы активов и отражение их в другой группе активов при </w:t>
      </w:r>
      <w:proofErr w:type="spellStart"/>
      <w:r w:rsidRPr="009E4FE2">
        <w:rPr>
          <w:rFonts w:eastAsiaTheme="minorHAnsi"/>
          <w:sz w:val="28"/>
          <w:szCs w:val="28"/>
          <w:lang w:eastAsia="en-US"/>
        </w:rPr>
        <w:t>реклассификации</w:t>
      </w:r>
      <w:proofErr w:type="spellEnd"/>
      <w:r w:rsidRPr="009E4FE2">
        <w:rPr>
          <w:rFonts w:eastAsiaTheme="minorHAnsi"/>
          <w:sz w:val="28"/>
          <w:szCs w:val="28"/>
          <w:lang w:eastAsia="en-US"/>
        </w:rPr>
        <w:t xml:space="preserve"> отражается в бухгалтерском учете одновременно.</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 xml:space="preserve">Перевод материальных запасов в иную группу либо в иную категорию объектов бухгалтерского учета в связи с их </w:t>
      </w:r>
      <w:proofErr w:type="spellStart"/>
      <w:r w:rsidRPr="009E4FE2">
        <w:rPr>
          <w:rFonts w:eastAsiaTheme="minorHAnsi"/>
          <w:sz w:val="28"/>
          <w:szCs w:val="28"/>
          <w:lang w:eastAsia="en-US"/>
        </w:rPr>
        <w:t>реклассификацией</w:t>
      </w:r>
      <w:proofErr w:type="spellEnd"/>
      <w:r w:rsidRPr="009E4FE2">
        <w:rPr>
          <w:rFonts w:eastAsiaTheme="minorHAnsi"/>
          <w:sz w:val="28"/>
          <w:szCs w:val="28"/>
          <w:lang w:eastAsia="en-US"/>
        </w:rPr>
        <w:t xml:space="preserve"> не приводит к изменению их стоимости, как в бухгалтерском учете, так и для целей оценки и раскрытия информации в бухгалтерской (финансовой) отчетности и не предусматривает уточнения показателей на счетах расчетов и счетах санкционирования, связанных со счетами обязательств по приобретению </w:t>
      </w:r>
      <w:r w:rsidRPr="009E4FE2">
        <w:rPr>
          <w:rFonts w:eastAsiaTheme="minorHAnsi"/>
          <w:sz w:val="28"/>
          <w:szCs w:val="28"/>
          <w:lang w:eastAsia="en-US"/>
        </w:rPr>
        <w:lastRenderedPageBreak/>
        <w:t xml:space="preserve">материальных запасов, которые </w:t>
      </w:r>
      <w:proofErr w:type="spellStart"/>
      <w:r w:rsidRPr="009E4FE2">
        <w:rPr>
          <w:rFonts w:eastAsiaTheme="minorHAnsi"/>
          <w:sz w:val="28"/>
          <w:szCs w:val="28"/>
          <w:lang w:eastAsia="en-US"/>
        </w:rPr>
        <w:t>реклассифицируются</w:t>
      </w:r>
      <w:proofErr w:type="spellEnd"/>
      <w:r w:rsidRPr="009E4FE2">
        <w:rPr>
          <w:rFonts w:eastAsiaTheme="minorHAnsi"/>
          <w:sz w:val="28"/>
          <w:szCs w:val="28"/>
          <w:lang w:eastAsia="en-US"/>
        </w:rPr>
        <w:t xml:space="preserve"> в результате новых условий их использования.</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3.8. Признание запасов в качестве активов прекращается в случае их выбытия:</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а) при их потреблении (использовании) в деятельности Учреждения;</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б) по основаниям, предусматривающим принятие решения о списании государственного (муниципального) имущества;</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в) при прекращении по решению Учреждения использования объекта для целей, предусмотренных при признании запасов, и прекращения получения Учреждением экономических выгод или полезного потенциала от дальнейшего использования Учреждением объекта запасов;</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г) при передаче другой организации бюджетной сферы;</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д) по иным основаниям, предусматривающим в соответствии с законодательством Российской Федерации прекращение права оперативного управления имуществом.</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3.9. Прекращение признания (выбытия с балансового учета) объекта запасов производится при одновременном соблюдении следующих критериев:</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а) Учреждение больше не участвует ни в распоряжении выбывшим объектом в той степени, которая определяется предоставленными правами, ни в осуществлении его реального использования;</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б) не прогнозируется получение Учреждением экономических выгод или полезного потенциала, связанного с операцией.</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3.10. Выдача материальных запасов на нужды Учреждения оформляется ведомостью выдачи материальных ценностей на нужды учреждения.</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3.11. Выбытие материальных запасов, в отношении которых установлен срок эксплуатации (в том числе в результате принятия решения об их списании), осуществляется на основании решения комиссии по поступлению и выбытию активов Учреждения, оформленного оправдательным документом (первичным (сводным) учетным документом) - Актом о списании.</w:t>
      </w:r>
    </w:p>
    <w:p w:rsidR="00F73674" w:rsidRPr="009E4FE2" w:rsidRDefault="00F73674" w:rsidP="00F73674">
      <w:pPr>
        <w:autoSpaceDE w:val="0"/>
        <w:autoSpaceDN w:val="0"/>
        <w:adjustRightInd w:val="0"/>
        <w:spacing w:line="360" w:lineRule="auto"/>
        <w:ind w:firstLine="540"/>
        <w:jc w:val="both"/>
        <w:rPr>
          <w:rFonts w:eastAsiaTheme="minorHAnsi"/>
          <w:sz w:val="28"/>
          <w:szCs w:val="28"/>
          <w:lang w:eastAsia="en-US"/>
        </w:rPr>
      </w:pPr>
      <w:r w:rsidRPr="009E4FE2">
        <w:rPr>
          <w:rFonts w:eastAsiaTheme="minorHAnsi"/>
          <w:sz w:val="28"/>
          <w:szCs w:val="28"/>
          <w:lang w:eastAsia="en-US"/>
        </w:rPr>
        <w:t>3.12. Выбытие запасов производится по стоимости каждой единицы.</w:t>
      </w:r>
    </w:p>
    <w:p w:rsidR="00F73674" w:rsidRPr="009E4FE2" w:rsidRDefault="00F73674" w:rsidP="00F73674">
      <w:pPr>
        <w:autoSpaceDE w:val="0"/>
        <w:autoSpaceDN w:val="0"/>
        <w:adjustRightInd w:val="0"/>
        <w:ind w:firstLine="540"/>
        <w:jc w:val="both"/>
        <w:rPr>
          <w:rFonts w:eastAsiaTheme="minorHAnsi"/>
          <w:lang w:eastAsia="en-US"/>
        </w:rPr>
      </w:pPr>
    </w:p>
    <w:p w:rsidR="00F73674" w:rsidRPr="009E4FE2" w:rsidRDefault="00F73674" w:rsidP="00F73674">
      <w:pPr>
        <w:autoSpaceDE w:val="0"/>
        <w:autoSpaceDN w:val="0"/>
        <w:adjustRightInd w:val="0"/>
        <w:ind w:firstLine="540"/>
        <w:jc w:val="both"/>
        <w:rPr>
          <w:rFonts w:eastAsiaTheme="minorHAnsi"/>
          <w:lang w:eastAsia="en-US"/>
        </w:rPr>
      </w:pPr>
    </w:p>
    <w:p w:rsidR="00F73674" w:rsidRPr="009E4FE2" w:rsidRDefault="00F73674" w:rsidP="00F73674"/>
    <w:p w:rsidR="00F73674" w:rsidRDefault="00F73674" w:rsidP="00FC06AA">
      <w:pPr>
        <w:widowControl w:val="0"/>
        <w:autoSpaceDE w:val="0"/>
        <w:autoSpaceDN w:val="0"/>
        <w:adjustRightInd w:val="0"/>
        <w:spacing w:line="360" w:lineRule="auto"/>
        <w:ind w:left="180"/>
        <w:jc w:val="both"/>
        <w:rPr>
          <w:sz w:val="28"/>
          <w:szCs w:val="28"/>
        </w:rPr>
      </w:pPr>
    </w:p>
    <w:p w:rsidR="00F73674" w:rsidRDefault="00F73674" w:rsidP="00FC06AA">
      <w:pPr>
        <w:widowControl w:val="0"/>
        <w:autoSpaceDE w:val="0"/>
        <w:autoSpaceDN w:val="0"/>
        <w:adjustRightInd w:val="0"/>
        <w:spacing w:line="360" w:lineRule="auto"/>
        <w:ind w:left="180"/>
        <w:jc w:val="both"/>
        <w:rPr>
          <w:sz w:val="28"/>
          <w:szCs w:val="28"/>
        </w:rPr>
      </w:pPr>
    </w:p>
    <w:p w:rsidR="00F73674" w:rsidRDefault="00F73674" w:rsidP="00FC06AA">
      <w:pPr>
        <w:widowControl w:val="0"/>
        <w:autoSpaceDE w:val="0"/>
        <w:autoSpaceDN w:val="0"/>
        <w:adjustRightInd w:val="0"/>
        <w:spacing w:line="360" w:lineRule="auto"/>
        <w:ind w:left="180"/>
        <w:jc w:val="both"/>
        <w:rPr>
          <w:sz w:val="26"/>
          <w:szCs w:val="26"/>
        </w:rPr>
      </w:pPr>
    </w:p>
    <w:p w:rsidR="009E4FE2" w:rsidRPr="009E4FE2" w:rsidRDefault="00F73674" w:rsidP="009E4FE2">
      <w:pPr>
        <w:widowControl w:val="0"/>
        <w:autoSpaceDE w:val="0"/>
        <w:autoSpaceDN w:val="0"/>
        <w:spacing w:line="360" w:lineRule="auto"/>
        <w:ind w:firstLine="708"/>
        <w:jc w:val="both"/>
        <w:rPr>
          <w:sz w:val="28"/>
          <w:szCs w:val="28"/>
        </w:rPr>
      </w:pPr>
      <w:r>
        <w:rPr>
          <w:sz w:val="28"/>
          <w:szCs w:val="20"/>
        </w:rPr>
        <w:t xml:space="preserve">3. </w:t>
      </w:r>
      <w:r w:rsidR="009E4FE2" w:rsidRPr="009E4FE2">
        <w:rPr>
          <w:sz w:val="28"/>
          <w:szCs w:val="20"/>
        </w:rPr>
        <w:t xml:space="preserve"> Внесенные изменения </w:t>
      </w:r>
      <w:proofErr w:type="gramStart"/>
      <w:r w:rsidR="009E4FE2" w:rsidRPr="009E4FE2">
        <w:rPr>
          <w:sz w:val="28"/>
          <w:szCs w:val="20"/>
        </w:rPr>
        <w:t xml:space="preserve">и  </w:t>
      </w:r>
      <w:r w:rsidR="009E4FE2" w:rsidRPr="009E4FE2">
        <w:rPr>
          <w:sz w:val="28"/>
          <w:szCs w:val="28"/>
        </w:rPr>
        <w:t>дополнения</w:t>
      </w:r>
      <w:proofErr w:type="gramEnd"/>
      <w:r w:rsidR="009E4FE2" w:rsidRPr="009E4FE2">
        <w:rPr>
          <w:sz w:val="28"/>
          <w:szCs w:val="28"/>
        </w:rPr>
        <w:t xml:space="preserve">   действуют при формировании объектов учета  с 1 января 20</w:t>
      </w:r>
      <w:r w:rsidR="00FC06AA">
        <w:rPr>
          <w:sz w:val="28"/>
          <w:szCs w:val="28"/>
        </w:rPr>
        <w:t>20</w:t>
      </w:r>
      <w:r w:rsidR="009E4FE2" w:rsidRPr="009E4FE2">
        <w:rPr>
          <w:sz w:val="28"/>
          <w:szCs w:val="28"/>
        </w:rPr>
        <w:t xml:space="preserve"> года.</w:t>
      </w:r>
    </w:p>
    <w:p w:rsidR="009E4FE2" w:rsidRPr="009E4FE2" w:rsidRDefault="00F73674" w:rsidP="009E4FE2">
      <w:pPr>
        <w:widowControl w:val="0"/>
        <w:autoSpaceDE w:val="0"/>
        <w:autoSpaceDN w:val="0"/>
        <w:spacing w:line="360" w:lineRule="auto"/>
        <w:ind w:firstLine="708"/>
        <w:jc w:val="both"/>
        <w:rPr>
          <w:sz w:val="28"/>
          <w:szCs w:val="20"/>
        </w:rPr>
      </w:pPr>
      <w:r>
        <w:rPr>
          <w:sz w:val="28"/>
          <w:szCs w:val="20"/>
        </w:rPr>
        <w:t>4</w:t>
      </w:r>
      <w:r w:rsidR="009E4FE2" w:rsidRPr="009E4FE2">
        <w:rPr>
          <w:sz w:val="28"/>
          <w:szCs w:val="20"/>
        </w:rPr>
        <w:t>. Конт</w:t>
      </w:r>
      <w:r>
        <w:rPr>
          <w:sz w:val="28"/>
          <w:szCs w:val="20"/>
        </w:rPr>
        <w:t>роль за исполнением настоящего Р</w:t>
      </w:r>
      <w:r w:rsidR="009E4FE2" w:rsidRPr="009E4FE2">
        <w:rPr>
          <w:sz w:val="28"/>
          <w:szCs w:val="20"/>
        </w:rPr>
        <w:t>аспоряжения возложить на заместителя Главы</w:t>
      </w:r>
      <w:r>
        <w:rPr>
          <w:sz w:val="28"/>
          <w:szCs w:val="20"/>
        </w:rPr>
        <w:t xml:space="preserve"> района по экономике и финансам, руководителя контрактной службы Мамышева М.К</w:t>
      </w:r>
      <w:r w:rsidR="009E4FE2" w:rsidRPr="009E4FE2">
        <w:rPr>
          <w:sz w:val="28"/>
          <w:szCs w:val="20"/>
        </w:rPr>
        <w:t>.</w:t>
      </w:r>
    </w:p>
    <w:p w:rsidR="009E4FE2" w:rsidRPr="009E4FE2" w:rsidRDefault="009E4FE2" w:rsidP="009E4FE2">
      <w:pPr>
        <w:widowControl w:val="0"/>
        <w:autoSpaceDE w:val="0"/>
        <w:autoSpaceDN w:val="0"/>
        <w:adjustRightInd w:val="0"/>
        <w:spacing w:line="360" w:lineRule="auto"/>
        <w:ind w:left="180"/>
        <w:jc w:val="both"/>
        <w:rPr>
          <w:sz w:val="28"/>
          <w:szCs w:val="28"/>
        </w:rPr>
      </w:pPr>
    </w:p>
    <w:p w:rsidR="009E4FE2" w:rsidRPr="009E4FE2" w:rsidRDefault="009E4FE2" w:rsidP="009E4FE2">
      <w:pPr>
        <w:widowControl w:val="0"/>
        <w:autoSpaceDE w:val="0"/>
        <w:autoSpaceDN w:val="0"/>
        <w:adjustRightInd w:val="0"/>
        <w:spacing w:line="360" w:lineRule="auto"/>
        <w:ind w:left="180"/>
        <w:jc w:val="both"/>
        <w:rPr>
          <w:sz w:val="28"/>
          <w:szCs w:val="28"/>
        </w:rPr>
      </w:pPr>
    </w:p>
    <w:p w:rsidR="009E4FE2" w:rsidRPr="009E4FE2" w:rsidRDefault="009E4FE2" w:rsidP="009E4FE2">
      <w:pPr>
        <w:widowControl w:val="0"/>
        <w:autoSpaceDE w:val="0"/>
        <w:autoSpaceDN w:val="0"/>
        <w:adjustRightInd w:val="0"/>
        <w:spacing w:line="360" w:lineRule="auto"/>
        <w:ind w:left="180"/>
        <w:jc w:val="both"/>
        <w:rPr>
          <w:sz w:val="28"/>
          <w:szCs w:val="28"/>
        </w:rPr>
      </w:pPr>
      <w:r w:rsidRPr="009E4FE2">
        <w:rPr>
          <w:sz w:val="28"/>
          <w:szCs w:val="28"/>
        </w:rPr>
        <w:tab/>
      </w:r>
      <w:r w:rsidRPr="009E4FE2">
        <w:rPr>
          <w:sz w:val="28"/>
          <w:szCs w:val="28"/>
        </w:rPr>
        <w:tab/>
        <w:t>Глава района</w:t>
      </w:r>
      <w:r w:rsidRPr="009E4FE2">
        <w:rPr>
          <w:sz w:val="28"/>
          <w:szCs w:val="28"/>
        </w:rPr>
        <w:tab/>
      </w:r>
      <w:r w:rsidRPr="009E4FE2">
        <w:rPr>
          <w:sz w:val="28"/>
          <w:szCs w:val="28"/>
        </w:rPr>
        <w:tab/>
      </w:r>
      <w:r w:rsidRPr="009E4FE2">
        <w:rPr>
          <w:sz w:val="28"/>
          <w:szCs w:val="28"/>
        </w:rPr>
        <w:tab/>
      </w:r>
      <w:r w:rsidRPr="009E4FE2">
        <w:rPr>
          <w:sz w:val="28"/>
          <w:szCs w:val="28"/>
        </w:rPr>
        <w:tab/>
      </w:r>
      <w:r w:rsidRPr="009E4FE2">
        <w:rPr>
          <w:sz w:val="28"/>
          <w:szCs w:val="28"/>
        </w:rPr>
        <w:tab/>
        <w:t>Ю.Ф.Рябов</w:t>
      </w:r>
    </w:p>
    <w:p w:rsidR="009E4FE2" w:rsidRPr="009E4FE2" w:rsidRDefault="009E4FE2" w:rsidP="009E4FE2">
      <w:pPr>
        <w:widowControl w:val="0"/>
        <w:autoSpaceDE w:val="0"/>
        <w:autoSpaceDN w:val="0"/>
        <w:adjustRightInd w:val="0"/>
        <w:ind w:left="180"/>
        <w:jc w:val="center"/>
        <w:rPr>
          <w:sz w:val="28"/>
          <w:szCs w:val="28"/>
        </w:rPr>
      </w:pPr>
    </w:p>
    <w:p w:rsidR="00FC06AA" w:rsidRPr="009E4FE2" w:rsidRDefault="00FC06AA" w:rsidP="00FC06AA">
      <w:pPr>
        <w:widowControl w:val="0"/>
        <w:autoSpaceDE w:val="0"/>
        <w:autoSpaceDN w:val="0"/>
        <w:adjustRightInd w:val="0"/>
        <w:spacing w:line="360" w:lineRule="auto"/>
        <w:ind w:left="180"/>
        <w:jc w:val="center"/>
        <w:rPr>
          <w:color w:val="FF0000"/>
          <w:sz w:val="28"/>
          <w:szCs w:val="28"/>
        </w:rPr>
      </w:pPr>
    </w:p>
    <w:sectPr w:rsidR="00FC06AA" w:rsidRPr="009E4FE2" w:rsidSect="00DF47BE">
      <w:pgSz w:w="11906" w:h="16838"/>
      <w:pgMar w:top="448" w:right="850" w:bottom="89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FE2"/>
    <w:rsid w:val="000E2B74"/>
    <w:rsid w:val="00715526"/>
    <w:rsid w:val="009E4FE2"/>
    <w:rsid w:val="00D2436C"/>
    <w:rsid w:val="00F73674"/>
    <w:rsid w:val="00FC0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D77E6"/>
  <w15:chartTrackingRefBased/>
  <w15:docId w15:val="{E9A4B766-2F21-4D2E-9344-A2A7CE61F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F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73674"/>
    <w:rPr>
      <w:rFonts w:ascii="Segoe UI" w:hAnsi="Segoe UI" w:cs="Segoe UI"/>
      <w:sz w:val="18"/>
      <w:szCs w:val="18"/>
    </w:rPr>
  </w:style>
  <w:style w:type="character" w:customStyle="1" w:styleId="a4">
    <w:name w:val="Текст выноски Знак"/>
    <w:basedOn w:val="a0"/>
    <w:link w:val="a3"/>
    <w:uiPriority w:val="99"/>
    <w:semiHidden/>
    <w:rsid w:val="00F7367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A5EAB9318A51E31482C75F315BD43D0BD5F4FFE2A90FFE6BEC7A272E3CBAD8ED41158EAE2220CD19093AF505D797D37738BC56BDDCAFF24b6WBO" TargetMode="External"/><Relationship Id="rId5" Type="http://schemas.openxmlformats.org/officeDocument/2006/relationships/hyperlink" Target="consultantplus://offline/ref=D84792C1392AFD49E3F226C2B359B351636D4D9039B6A108AB02832194A24B84B7BD47973E82F23DCCCB1A568A77E011C39B01E971D02336n8T7O"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1182</Words>
  <Characters>6740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Худяева</dc:creator>
  <cp:keywords/>
  <dc:description/>
  <cp:lastModifiedBy>Ольга Худяева</cp:lastModifiedBy>
  <cp:revision>4</cp:revision>
  <cp:lastPrinted>2020-10-23T10:24:00Z</cp:lastPrinted>
  <dcterms:created xsi:type="dcterms:W3CDTF">2020-09-28T11:46:00Z</dcterms:created>
  <dcterms:modified xsi:type="dcterms:W3CDTF">2020-10-23T10:46:00Z</dcterms:modified>
</cp:coreProperties>
</file>