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8A" w:rsidRDefault="0054198A" w:rsidP="00C835E1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Отчет</w:t>
      </w:r>
    </w:p>
    <w:p w:rsidR="0054198A" w:rsidRDefault="0054198A" w:rsidP="00C835E1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54198A" w:rsidRDefault="0054198A" w:rsidP="00C835E1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 Общая информация.</w:t>
      </w:r>
    </w:p>
    <w:p w:rsidR="0054198A" w:rsidRPr="00EF4310" w:rsidRDefault="00EF4310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</w:rPr>
        <w:t xml:space="preserve">1.1. Орган-разработчик: </w:t>
      </w:r>
      <w:r w:rsidR="00DC4CF8" w:rsidRPr="00436B66">
        <w:rPr>
          <w:rFonts w:cs="Times New Roman"/>
          <w:szCs w:val="28"/>
        </w:rPr>
        <w:t xml:space="preserve">МКУ  «Управление капитального строительства, архитектуры и градостроительства, жилищно-коммунального хозяйства» муниципального района </w:t>
      </w:r>
      <w:proofErr w:type="spellStart"/>
      <w:r w:rsidR="00DC4CF8" w:rsidRPr="00436B66">
        <w:rPr>
          <w:rFonts w:cs="Times New Roman"/>
          <w:szCs w:val="28"/>
        </w:rPr>
        <w:t>Похвистневский</w:t>
      </w:r>
      <w:proofErr w:type="spellEnd"/>
      <w:r w:rsidR="00DC4CF8" w:rsidRPr="00436B66">
        <w:rPr>
          <w:rFonts w:cs="Times New Roman"/>
          <w:szCs w:val="28"/>
        </w:rPr>
        <w:t xml:space="preserve"> Самарской области</w:t>
      </w:r>
      <w:r w:rsidR="0054198A" w:rsidRPr="00EF4310">
        <w:rPr>
          <w:rFonts w:cs="Times New Roman"/>
          <w:color w:val="0D0D0D"/>
          <w:szCs w:val="28"/>
          <w:u w:val="single"/>
        </w:rPr>
        <w:t>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Вид, наименование и дата вступления в силу НПА Администрации района, в отношении которого проводится экспертиза: </w:t>
      </w:r>
      <w:r w:rsidR="00DC4CF8" w:rsidRPr="0064738B">
        <w:rPr>
          <w:rFonts w:cs="Times New Roman"/>
          <w:sz w:val="26"/>
          <w:szCs w:val="26"/>
        </w:rPr>
        <w:t xml:space="preserve">Постановление Администрации муниципального района </w:t>
      </w:r>
      <w:proofErr w:type="spellStart"/>
      <w:r w:rsidR="00DC4CF8" w:rsidRPr="0064738B">
        <w:rPr>
          <w:rFonts w:cs="Times New Roman"/>
          <w:sz w:val="26"/>
          <w:szCs w:val="26"/>
        </w:rPr>
        <w:t>Похвистневский</w:t>
      </w:r>
      <w:proofErr w:type="spellEnd"/>
      <w:r w:rsidR="00DC4CF8" w:rsidRPr="0064738B">
        <w:rPr>
          <w:rFonts w:cs="Times New Roman"/>
          <w:sz w:val="26"/>
          <w:szCs w:val="26"/>
        </w:rPr>
        <w:t xml:space="preserve"> Самарской области от 28.12.2017 №1092   об утверждении муниципальной программы «Формирование комфортной городской среды на территории муниципального района </w:t>
      </w:r>
      <w:proofErr w:type="spellStart"/>
      <w:r w:rsidR="00DC4CF8" w:rsidRPr="0064738B">
        <w:rPr>
          <w:rFonts w:cs="Times New Roman"/>
          <w:sz w:val="26"/>
          <w:szCs w:val="26"/>
        </w:rPr>
        <w:t>Похвистневский</w:t>
      </w:r>
      <w:proofErr w:type="spellEnd"/>
      <w:r w:rsidR="00DC4CF8" w:rsidRPr="0064738B">
        <w:rPr>
          <w:rFonts w:cs="Times New Roman"/>
          <w:sz w:val="26"/>
          <w:szCs w:val="26"/>
        </w:rPr>
        <w:t xml:space="preserve"> Самарской области на 2018-2022 годы».</w:t>
      </w:r>
    </w:p>
    <w:p w:rsidR="00EF4310" w:rsidRPr="00030E4E" w:rsidRDefault="0054198A" w:rsidP="00C835E1">
      <w:pPr>
        <w:spacing w:after="0" w:line="240" w:lineRule="auto"/>
        <w:ind w:firstLine="708"/>
        <w:rPr>
          <w:rFonts w:cs="Times New Roman"/>
          <w:szCs w:val="28"/>
        </w:rPr>
      </w:pPr>
      <w:r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наличием рассматриваемой проблемы</w:t>
      </w:r>
      <w:r w:rsidR="00EF4310">
        <w:rPr>
          <w:rFonts w:cs="Times New Roman"/>
          <w:color w:val="0D0D0D"/>
          <w:szCs w:val="28"/>
        </w:rPr>
        <w:t>:</w:t>
      </w:r>
    </w:p>
    <w:p w:rsidR="00DC4CF8" w:rsidRDefault="00DC4CF8" w:rsidP="00C835E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E434C">
        <w:rPr>
          <w:rFonts w:cs="Times New Roman"/>
          <w:szCs w:val="28"/>
        </w:rPr>
        <w:t xml:space="preserve">Цель данной муниципальной программы – повышение уровня благоустройства дворовых территорий многоквартирных домов и общественных территорий и создание благоприятных, комфортных, безопасных условий проживания населения муниципального района </w:t>
      </w:r>
      <w:proofErr w:type="spellStart"/>
      <w:r w:rsidRPr="00DE434C">
        <w:rPr>
          <w:rFonts w:cs="Times New Roman"/>
          <w:szCs w:val="28"/>
        </w:rPr>
        <w:t>Похвистневский</w:t>
      </w:r>
      <w:proofErr w:type="spellEnd"/>
      <w:r w:rsidRPr="00DE434C">
        <w:rPr>
          <w:rFonts w:cs="Times New Roman"/>
          <w:szCs w:val="28"/>
        </w:rPr>
        <w:t xml:space="preserve"> Самарской области.</w:t>
      </w:r>
      <w:r>
        <w:rPr>
          <w:rFonts w:cs="Times New Roman"/>
          <w:szCs w:val="28"/>
        </w:rPr>
        <w:t xml:space="preserve"> Данные цели реализуются посредством решения следующих задач: </w:t>
      </w:r>
    </w:p>
    <w:p w:rsidR="00DC4CF8" w:rsidRDefault="00DC4CF8" w:rsidP="00C835E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обеспечение создания, содержания и развития объектов благоустройства на территории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области;</w:t>
      </w:r>
    </w:p>
    <w:p w:rsidR="00DC4CF8" w:rsidRPr="00DE434C" w:rsidRDefault="00DC4CF8" w:rsidP="00C835E1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повышение уровня вовлеченности заинтересованных </w:t>
      </w:r>
      <w:r w:rsidR="00A221A2">
        <w:rPr>
          <w:rFonts w:cs="Times New Roman"/>
          <w:szCs w:val="28"/>
        </w:rPr>
        <w:t xml:space="preserve">граждан, организаций в реализацию мероприятий по благоустройству муниципального района </w:t>
      </w:r>
      <w:proofErr w:type="spellStart"/>
      <w:r w:rsidR="00A221A2">
        <w:rPr>
          <w:rFonts w:cs="Times New Roman"/>
          <w:szCs w:val="28"/>
        </w:rPr>
        <w:t>Похвистневский</w:t>
      </w:r>
      <w:proofErr w:type="spellEnd"/>
      <w:r w:rsidR="00A221A2">
        <w:rPr>
          <w:rFonts w:cs="Times New Roman"/>
          <w:szCs w:val="28"/>
        </w:rPr>
        <w:t xml:space="preserve"> Самарской области.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начало срока: «</w:t>
      </w:r>
      <w:r w:rsidR="00EF4310">
        <w:rPr>
          <w:rFonts w:cs="Times New Roman"/>
          <w:color w:val="0D0D0D"/>
          <w:szCs w:val="28"/>
        </w:rPr>
        <w:t>1</w:t>
      </w:r>
      <w:r w:rsidR="00DC4CF8">
        <w:rPr>
          <w:rFonts w:cs="Times New Roman"/>
          <w:color w:val="0D0D0D"/>
          <w:szCs w:val="28"/>
        </w:rPr>
        <w:t>8</w:t>
      </w:r>
      <w:r>
        <w:rPr>
          <w:rFonts w:cs="Times New Roman"/>
          <w:color w:val="0D0D0D"/>
          <w:szCs w:val="28"/>
        </w:rPr>
        <w:t>»</w:t>
      </w:r>
      <w:r w:rsidR="00EF4310">
        <w:rPr>
          <w:rFonts w:cs="Times New Roman"/>
          <w:color w:val="0D0D0D"/>
          <w:szCs w:val="28"/>
        </w:rPr>
        <w:t xml:space="preserve">ноября </w:t>
      </w:r>
      <w:r>
        <w:rPr>
          <w:rFonts w:cs="Times New Roman"/>
          <w:color w:val="0D0D0D"/>
          <w:szCs w:val="28"/>
        </w:rPr>
        <w:t>20</w:t>
      </w:r>
      <w:r w:rsidR="00EF4310">
        <w:rPr>
          <w:rFonts w:cs="Times New Roman"/>
          <w:color w:val="0D0D0D"/>
          <w:szCs w:val="28"/>
        </w:rPr>
        <w:t>1</w:t>
      </w:r>
      <w:r w:rsidR="00DC4CF8">
        <w:rPr>
          <w:rFonts w:cs="Times New Roman"/>
          <w:color w:val="0D0D0D"/>
          <w:szCs w:val="28"/>
        </w:rPr>
        <w:t>9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окончание срока: «</w:t>
      </w:r>
      <w:r w:rsidR="00EF4310">
        <w:rPr>
          <w:rFonts w:cs="Times New Roman"/>
          <w:color w:val="0D0D0D"/>
          <w:szCs w:val="28"/>
        </w:rPr>
        <w:t>2</w:t>
      </w:r>
      <w:r w:rsidR="00DC4CF8">
        <w:rPr>
          <w:rFonts w:cs="Times New Roman"/>
          <w:color w:val="0D0D0D"/>
          <w:szCs w:val="28"/>
        </w:rPr>
        <w:t>5</w:t>
      </w:r>
      <w:r>
        <w:rPr>
          <w:rFonts w:cs="Times New Roman"/>
          <w:color w:val="0D0D0D"/>
          <w:szCs w:val="28"/>
        </w:rPr>
        <w:t>»</w:t>
      </w:r>
      <w:r w:rsidR="00EF4310">
        <w:rPr>
          <w:rFonts w:cs="Times New Roman"/>
          <w:color w:val="0D0D0D"/>
          <w:szCs w:val="28"/>
        </w:rPr>
        <w:t xml:space="preserve">ноября </w:t>
      </w:r>
      <w:r>
        <w:rPr>
          <w:rFonts w:cs="Times New Roman"/>
          <w:color w:val="0D0D0D"/>
          <w:szCs w:val="28"/>
        </w:rPr>
        <w:t>20</w:t>
      </w:r>
      <w:r w:rsidR="00EF4310">
        <w:rPr>
          <w:rFonts w:cs="Times New Roman"/>
          <w:color w:val="0D0D0D"/>
          <w:szCs w:val="28"/>
        </w:rPr>
        <w:t>1</w:t>
      </w:r>
      <w:r w:rsidR="00DC4CF8">
        <w:rPr>
          <w:rFonts w:cs="Times New Roman"/>
          <w:color w:val="0D0D0D"/>
          <w:szCs w:val="28"/>
        </w:rPr>
        <w:t>9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1.5. Количество замечаний и предложений, полученных от заинтересованных лиц при проведении публичных консультаций: </w:t>
      </w:r>
      <w:r w:rsidR="00FD12E8">
        <w:rPr>
          <w:rFonts w:cs="Times New Roman"/>
          <w:color w:val="0D0D0D"/>
          <w:szCs w:val="28"/>
          <w:u w:val="single"/>
        </w:rPr>
        <w:t>отсутствуют</w:t>
      </w:r>
      <w:r w:rsidR="00606ABA">
        <w:rPr>
          <w:rFonts w:cs="Times New Roman"/>
          <w:color w:val="0D0D0D"/>
          <w:szCs w:val="28"/>
          <w:u w:val="single"/>
        </w:rPr>
        <w:t>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DC4CF8" w:rsidRPr="00DC4CF8" w:rsidRDefault="0054198A" w:rsidP="00C835E1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C4CF8">
        <w:rPr>
          <w:rFonts w:ascii="Times New Roman" w:hAnsi="Times New Roman" w:cs="Times New Roman"/>
          <w:color w:val="0D0D0D"/>
          <w:sz w:val="28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</w:t>
      </w:r>
      <w:r w:rsidR="00EF4310" w:rsidRPr="00DC4CF8">
        <w:rPr>
          <w:rFonts w:ascii="Times New Roman" w:hAnsi="Times New Roman" w:cs="Times New Roman"/>
          <w:color w:val="0D0D0D"/>
          <w:sz w:val="28"/>
          <w:szCs w:val="28"/>
        </w:rPr>
        <w:t xml:space="preserve">: </w:t>
      </w:r>
      <w:r w:rsidR="00EF4310" w:rsidRPr="00DC4CF8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</w:t>
      </w:r>
      <w:r w:rsidR="00DC4CF8" w:rsidRPr="00DC4CF8">
        <w:rPr>
          <w:rFonts w:ascii="Times New Roman" w:hAnsi="Times New Roman" w:cs="Times New Roman"/>
          <w:sz w:val="28"/>
          <w:szCs w:val="28"/>
        </w:rPr>
        <w:t>, действующие в сфере строительства и благоустройства территорий.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54198A" w:rsidRDefault="00A221A2" w:rsidP="00C835E1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  <w:u w:val="single"/>
        </w:rPr>
        <w:t>Негативным эффектом может служить неполное удовлетворение разумных пожеланий</w:t>
      </w:r>
      <w:proofErr w:type="gramStart"/>
      <w:r>
        <w:rPr>
          <w:rFonts w:cs="Times New Roman"/>
          <w:color w:val="0D0D0D"/>
          <w:szCs w:val="28"/>
          <w:u w:val="single"/>
        </w:rPr>
        <w:t xml:space="preserve"> </w:t>
      </w:r>
      <w:r w:rsidR="00AB5318">
        <w:rPr>
          <w:rFonts w:cs="Times New Roman"/>
          <w:color w:val="0D0D0D"/>
          <w:szCs w:val="28"/>
        </w:rPr>
        <w:t>.</w:t>
      </w:r>
      <w:proofErr w:type="gramEnd"/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2.3. Причины невозможности решения проблемы участниками соответствующих общественных отношений самостоятельно, без вмешательства государства</w:t>
      </w:r>
      <w:r w:rsidR="00AB5318">
        <w:rPr>
          <w:rFonts w:cs="Times New Roman"/>
          <w:color w:val="0D0D0D"/>
          <w:szCs w:val="28"/>
        </w:rPr>
        <w:t>:</w:t>
      </w:r>
      <w:r>
        <w:rPr>
          <w:rFonts w:cs="Times New Roman"/>
          <w:color w:val="0D0D0D"/>
          <w:szCs w:val="28"/>
        </w:rPr>
        <w:t xml:space="preserve"> </w:t>
      </w:r>
    </w:p>
    <w:p w:rsidR="00AB5318" w:rsidRDefault="00A221A2" w:rsidP="00C835E1">
      <w:pPr>
        <w:spacing w:after="0" w:line="240" w:lineRule="auto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  <w:u w:val="single"/>
        </w:rPr>
        <w:t xml:space="preserve">Подобных видов реализации мероприятий по благоустройству </w:t>
      </w:r>
      <w:r w:rsidR="00AB5318">
        <w:rPr>
          <w:rFonts w:cs="Times New Roman"/>
          <w:color w:val="0D0D0D"/>
          <w:szCs w:val="28"/>
          <w:u w:val="single"/>
        </w:rPr>
        <w:t>из  иных источников не предусмотрено.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 Цели регулирования нормативного акта, сроки достижения и периодичность мониторинга достижения целей.</w:t>
      </w:r>
    </w:p>
    <w:p w:rsidR="00A221A2" w:rsidRPr="00030E4E" w:rsidRDefault="0054198A" w:rsidP="00C835E1">
      <w:pPr>
        <w:spacing w:after="0" w:line="240" w:lineRule="auto"/>
        <w:ind w:firstLine="565"/>
        <w:jc w:val="both"/>
        <w:rPr>
          <w:rFonts w:cs="Times New Roman"/>
          <w:b/>
          <w:bCs/>
          <w:szCs w:val="28"/>
        </w:rPr>
      </w:pPr>
      <w:r>
        <w:rPr>
          <w:rFonts w:cs="Times New Roman"/>
          <w:color w:val="0D0D0D"/>
          <w:szCs w:val="28"/>
        </w:rPr>
        <w:lastRenderedPageBreak/>
        <w:t>3.</w:t>
      </w:r>
      <w:r w:rsidR="00A221A2">
        <w:rPr>
          <w:rFonts w:cs="Times New Roman"/>
          <w:color w:val="0D0D0D"/>
          <w:szCs w:val="28"/>
        </w:rPr>
        <w:t>1</w:t>
      </w:r>
      <w:r>
        <w:rPr>
          <w:rFonts w:cs="Times New Roman"/>
          <w:color w:val="0D0D0D"/>
          <w:szCs w:val="28"/>
        </w:rPr>
        <w:t>. 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</w:t>
      </w:r>
      <w:r w:rsidR="00A221A2">
        <w:rPr>
          <w:rFonts w:cs="Times New Roman"/>
          <w:color w:val="0D0D0D"/>
          <w:szCs w:val="28"/>
        </w:rPr>
        <w:t>: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</w:t>
      </w:r>
      <w:r w:rsidR="00A221A2">
        <w:rPr>
          <w:rFonts w:cs="Times New Roman"/>
          <w:color w:val="0D0D0D"/>
          <w:szCs w:val="28"/>
        </w:rPr>
        <w:t>2</w:t>
      </w:r>
      <w:r>
        <w:rPr>
          <w:rFonts w:cs="Times New Roman"/>
          <w:color w:val="0D0D0D"/>
          <w:szCs w:val="28"/>
        </w:rPr>
        <w:t xml:space="preserve">. </w:t>
      </w:r>
      <w:proofErr w:type="gramStart"/>
      <w:r>
        <w:rPr>
          <w:rFonts w:cs="Times New Roman"/>
          <w:color w:val="0D0D0D"/>
          <w:szCs w:val="28"/>
        </w:rPr>
        <w:t xml:space="preserve">Методы расчета индикаторов достижения целей регулирования нормативного акта, источники для расчетов </w:t>
      </w:r>
      <w:r w:rsidR="00FD12E8" w:rsidRPr="00D2526D">
        <w:rPr>
          <w:rFonts w:cs="Times New Roman"/>
          <w:szCs w:val="28"/>
          <w:u w:val="single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механизмов, что позволит сосредоточить усилия на достижение приоритетных целей социально- экономического развития района.</w:t>
      </w:r>
      <w:r>
        <w:rPr>
          <w:rFonts w:cs="Times New Roman"/>
          <w:color w:val="0D0D0D"/>
          <w:szCs w:val="28"/>
        </w:rPr>
        <w:t xml:space="preserve"> </w:t>
      </w:r>
      <w:proofErr w:type="gramEnd"/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  <w:r w:rsidR="00606ABA">
        <w:rPr>
          <w:rFonts w:cs="Times New Roman"/>
          <w:color w:val="0D0D0D"/>
          <w:szCs w:val="28"/>
        </w:rPr>
        <w:t xml:space="preserve"> на 1 января 201</w:t>
      </w:r>
      <w:r w:rsidR="00A221A2">
        <w:rPr>
          <w:rFonts w:cs="Times New Roman"/>
          <w:color w:val="0D0D0D"/>
          <w:szCs w:val="28"/>
        </w:rPr>
        <w:t>9</w:t>
      </w:r>
      <w:r w:rsidR="00606ABA">
        <w:rPr>
          <w:rFonts w:cs="Times New Roman"/>
          <w:color w:val="0D0D0D"/>
          <w:szCs w:val="28"/>
        </w:rPr>
        <w:t xml:space="preserve"> года на территории муниципального района </w:t>
      </w:r>
      <w:proofErr w:type="spellStart"/>
      <w:r w:rsidR="00606ABA">
        <w:rPr>
          <w:rFonts w:cs="Times New Roman"/>
          <w:color w:val="0D0D0D"/>
          <w:szCs w:val="28"/>
        </w:rPr>
        <w:t>Похвистневский</w:t>
      </w:r>
      <w:proofErr w:type="spellEnd"/>
      <w:r w:rsidR="00606ABA">
        <w:rPr>
          <w:rFonts w:cs="Times New Roman"/>
          <w:color w:val="0D0D0D"/>
          <w:szCs w:val="28"/>
        </w:rPr>
        <w:t xml:space="preserve"> зарегистрированы 13</w:t>
      </w:r>
      <w:r w:rsidR="00A221A2">
        <w:rPr>
          <w:rFonts w:cs="Times New Roman"/>
          <w:color w:val="0D0D0D"/>
          <w:szCs w:val="28"/>
        </w:rPr>
        <w:t>8</w:t>
      </w:r>
      <w:r w:rsidR="00606ABA">
        <w:rPr>
          <w:rFonts w:cs="Times New Roman"/>
          <w:color w:val="0D0D0D"/>
          <w:szCs w:val="28"/>
        </w:rPr>
        <w:t xml:space="preserve"> организации и 4</w:t>
      </w:r>
      <w:r w:rsidR="00A221A2">
        <w:rPr>
          <w:rFonts w:cs="Times New Roman"/>
          <w:color w:val="0D0D0D"/>
          <w:szCs w:val="28"/>
        </w:rPr>
        <w:t>52</w:t>
      </w:r>
      <w:r w:rsidR="00606ABA">
        <w:rPr>
          <w:rFonts w:cs="Times New Roman"/>
          <w:color w:val="0D0D0D"/>
          <w:szCs w:val="28"/>
        </w:rPr>
        <w:t xml:space="preserve"> индивидуальных предпринимателя, 120 фермерских хозяйств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p w:rsidR="005A06B9" w:rsidRPr="00030E4E" w:rsidRDefault="005A06B9" w:rsidP="00C835E1">
      <w:pPr>
        <w:widowControl w:val="0"/>
        <w:spacing w:after="0" w:line="240" w:lineRule="auto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Общий объем финансирования</w:t>
      </w:r>
      <w:r w:rsidR="009249C1">
        <w:rPr>
          <w:rFonts w:cs="Times New Roman"/>
          <w:szCs w:val="28"/>
        </w:rPr>
        <w:t xml:space="preserve"> (со всех бюджетов)</w:t>
      </w:r>
      <w:r w:rsidRPr="00030E4E">
        <w:rPr>
          <w:rFonts w:cs="Times New Roman"/>
          <w:szCs w:val="28"/>
        </w:rPr>
        <w:t xml:space="preserve"> 201</w:t>
      </w:r>
      <w:r>
        <w:rPr>
          <w:rFonts w:cs="Times New Roman"/>
          <w:szCs w:val="28"/>
        </w:rPr>
        <w:t>8</w:t>
      </w:r>
      <w:r w:rsidRPr="00030E4E">
        <w:rPr>
          <w:rFonts w:cs="Times New Roman"/>
          <w:szCs w:val="28"/>
        </w:rPr>
        <w:t xml:space="preserve"> – 20</w:t>
      </w:r>
      <w:r>
        <w:rPr>
          <w:rFonts w:cs="Times New Roman"/>
          <w:szCs w:val="28"/>
        </w:rPr>
        <w:t xml:space="preserve">22г.г.-  </w:t>
      </w:r>
      <w:r w:rsidR="009249C1">
        <w:rPr>
          <w:rFonts w:cs="Times New Roman"/>
          <w:szCs w:val="28"/>
        </w:rPr>
        <w:t>50 000</w:t>
      </w:r>
      <w:r w:rsidR="00FD12E8">
        <w:rPr>
          <w:rFonts w:cs="Times New Roman"/>
          <w:szCs w:val="28"/>
        </w:rPr>
        <w:t xml:space="preserve"> тыс. руб., по </w:t>
      </w:r>
      <w:r w:rsidR="009249C1">
        <w:rPr>
          <w:rFonts w:cs="Times New Roman"/>
          <w:szCs w:val="28"/>
        </w:rPr>
        <w:t>10 000</w:t>
      </w:r>
      <w:r w:rsidR="00FD12E8">
        <w:rPr>
          <w:rFonts w:cs="Times New Roman"/>
          <w:szCs w:val="28"/>
        </w:rPr>
        <w:t xml:space="preserve"> тыс</w:t>
      </w:r>
      <w:proofErr w:type="gramStart"/>
      <w:r w:rsidR="00FD12E8">
        <w:rPr>
          <w:rFonts w:cs="Times New Roman"/>
          <w:szCs w:val="28"/>
        </w:rPr>
        <w:t>.р</w:t>
      </w:r>
      <w:proofErr w:type="gramEnd"/>
      <w:r w:rsidR="00FD12E8">
        <w:rPr>
          <w:rFonts w:cs="Times New Roman"/>
          <w:szCs w:val="28"/>
        </w:rPr>
        <w:t>уб. в год.</w:t>
      </w:r>
    </w:p>
    <w:p w:rsidR="0054198A" w:rsidRDefault="005A06B9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5.2</w:t>
      </w:r>
      <w:r w:rsidR="0054198A">
        <w:rPr>
          <w:rFonts w:cs="Times New Roman"/>
          <w:color w:val="0D0D0D"/>
          <w:szCs w:val="28"/>
        </w:rPr>
        <w:t>. Другие сведения о дополнительных расходах (доходах) местного бюджета (бюджета субъекта РФ), возникающих в связи с применением правового регулирования</w:t>
      </w:r>
      <w:r w:rsidR="00EF4310">
        <w:rPr>
          <w:rFonts w:cs="Times New Roman"/>
          <w:color w:val="0D0D0D"/>
          <w:szCs w:val="28"/>
        </w:rPr>
        <w:t xml:space="preserve">: </w:t>
      </w:r>
      <w:r w:rsidR="00EF4310" w:rsidRPr="00EF4310">
        <w:rPr>
          <w:rFonts w:cs="Times New Roman"/>
          <w:color w:val="0D0D0D"/>
          <w:szCs w:val="28"/>
          <w:u w:val="single"/>
        </w:rPr>
        <w:t>не имеются.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4198A" w:rsidRDefault="005A06B9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5.3</w:t>
      </w:r>
      <w:r w:rsidR="0054198A">
        <w:rPr>
          <w:rFonts w:cs="Times New Roman"/>
          <w:color w:val="0D0D0D"/>
          <w:szCs w:val="28"/>
        </w:rPr>
        <w:t>. Источники данных</w:t>
      </w:r>
      <w:r w:rsidR="00EF4310">
        <w:rPr>
          <w:rFonts w:cs="Times New Roman"/>
          <w:color w:val="0D0D0D"/>
          <w:szCs w:val="28"/>
        </w:rPr>
        <w:t xml:space="preserve">: отчеты </w:t>
      </w:r>
      <w:r w:rsidR="00A221A2" w:rsidRPr="00436B66">
        <w:rPr>
          <w:rFonts w:cs="Times New Roman"/>
          <w:szCs w:val="28"/>
        </w:rPr>
        <w:t xml:space="preserve">МКУ  «Управление капитального строительства, архитектуры и градостроительства, жилищно-коммунального хозяйства» муниципального района </w:t>
      </w:r>
      <w:proofErr w:type="spellStart"/>
      <w:r w:rsidR="00A221A2" w:rsidRPr="00436B66">
        <w:rPr>
          <w:rFonts w:cs="Times New Roman"/>
          <w:szCs w:val="28"/>
        </w:rPr>
        <w:t>Похвистневский</w:t>
      </w:r>
      <w:proofErr w:type="spellEnd"/>
      <w:r w:rsidR="00A221A2" w:rsidRPr="00436B66">
        <w:rPr>
          <w:rFonts w:cs="Times New Roman"/>
          <w:szCs w:val="28"/>
        </w:rPr>
        <w:t xml:space="preserve"> Самарской области</w:t>
      </w:r>
      <w:r w:rsidR="00EF4310">
        <w:rPr>
          <w:rFonts w:cs="Times New Roman"/>
          <w:color w:val="0D0D0D"/>
          <w:szCs w:val="28"/>
        </w:rPr>
        <w:t>, Финансового управления.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A06B9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  <w:r w:rsidR="005A06B9">
        <w:rPr>
          <w:rFonts w:cs="Times New Roman"/>
          <w:color w:val="0D0D0D"/>
          <w:szCs w:val="28"/>
        </w:rPr>
        <w:t xml:space="preserve"> </w:t>
      </w:r>
      <w:r w:rsidR="005A06B9" w:rsidRPr="0052004F">
        <w:rPr>
          <w:rFonts w:cs="Times New Roman"/>
          <w:color w:val="0D0D0D"/>
          <w:szCs w:val="28"/>
          <w:u w:val="single"/>
        </w:rPr>
        <w:t>отсутствуют.</w:t>
      </w:r>
    </w:p>
    <w:p w:rsidR="005A06B9" w:rsidRPr="005A06B9" w:rsidRDefault="0054198A" w:rsidP="00C835E1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Издержки и выгоды адресатов правового регулирования НПА Администрации района, не поддающиеся количественной оценке</w:t>
      </w:r>
      <w:r w:rsidR="005A06B9">
        <w:rPr>
          <w:rFonts w:cs="Times New Roman"/>
          <w:color w:val="0D0D0D"/>
          <w:szCs w:val="28"/>
        </w:rPr>
        <w:t>:</w:t>
      </w:r>
      <w:r w:rsidR="005A06B9" w:rsidRPr="005A06B9">
        <w:rPr>
          <w:sz w:val="26"/>
          <w:szCs w:val="26"/>
        </w:rPr>
        <w:t xml:space="preserve"> </w:t>
      </w:r>
      <w:r w:rsidR="005A06B9" w:rsidRPr="005A06B9">
        <w:rPr>
          <w:rFonts w:eastAsia="Calibri" w:cs="Times New Roman"/>
          <w:color w:val="0D0D0D"/>
          <w:szCs w:val="28"/>
        </w:rPr>
        <w:t>Издержки отсутствуют, выгоды</w:t>
      </w:r>
      <w:r w:rsidR="007B6C75">
        <w:rPr>
          <w:rFonts w:eastAsia="Calibri" w:cs="Times New Roman"/>
          <w:color w:val="0D0D0D"/>
          <w:szCs w:val="28"/>
        </w:rPr>
        <w:t xml:space="preserve"> - благоустройство</w:t>
      </w:r>
      <w:r w:rsidR="005A06B9" w:rsidRPr="005A06B9">
        <w:rPr>
          <w:rFonts w:eastAsia="Calibri" w:cs="Times New Roman"/>
          <w:color w:val="0D0D0D"/>
          <w:szCs w:val="28"/>
        </w:rPr>
        <w:t>.</w:t>
      </w:r>
    </w:p>
    <w:p w:rsidR="00FD12E8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7. Оценка рисков неблагоприятных последствий применения правового регулирования НПА Администрации района:</w:t>
      </w:r>
      <w:r w:rsidR="00FD12E8">
        <w:rPr>
          <w:rFonts w:cs="Times New Roman"/>
          <w:color w:val="0D0D0D"/>
          <w:szCs w:val="28"/>
        </w:rPr>
        <w:t xml:space="preserve"> </w:t>
      </w:r>
      <w:r w:rsidR="00FD12E8" w:rsidRPr="0052004F">
        <w:rPr>
          <w:rFonts w:cs="Times New Roman"/>
          <w:color w:val="0D0D0D"/>
          <w:szCs w:val="28"/>
          <w:u w:val="single"/>
        </w:rPr>
        <w:t>неблагоприятные последствия применения</w:t>
      </w:r>
      <w:r w:rsidR="00FD12E8">
        <w:rPr>
          <w:rFonts w:cs="Times New Roman"/>
          <w:color w:val="0D0D0D"/>
          <w:szCs w:val="28"/>
          <w:u w:val="single"/>
        </w:rPr>
        <w:t xml:space="preserve"> муниципальной программы отсутствуют.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p w:rsidR="00FD12E8" w:rsidRDefault="00FD12E8" w:rsidP="00C835E1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1: </w:t>
      </w:r>
      <w:r>
        <w:rPr>
          <w:sz w:val="26"/>
          <w:szCs w:val="26"/>
        </w:rPr>
        <w:t>реализация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 достигнет полного решения проблемы.</w:t>
      </w:r>
    </w:p>
    <w:p w:rsidR="00FD12E8" w:rsidRDefault="00FD12E8" w:rsidP="00C835E1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2: Отказ от </w:t>
      </w:r>
      <w:r>
        <w:rPr>
          <w:sz w:val="26"/>
          <w:szCs w:val="26"/>
        </w:rPr>
        <w:t>реализации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</w:t>
      </w:r>
      <w:r>
        <w:rPr>
          <w:sz w:val="26"/>
          <w:szCs w:val="26"/>
        </w:rPr>
        <w:t xml:space="preserve"> будет способствовать</w:t>
      </w:r>
      <w:r>
        <w:rPr>
          <w:rFonts w:eastAsia="Calibri" w:cs="Times New Roman"/>
          <w:color w:val="0D0D0D"/>
          <w:sz w:val="26"/>
          <w:szCs w:val="26"/>
        </w:rPr>
        <w:t xml:space="preserve"> не дости</w:t>
      </w:r>
      <w:r>
        <w:rPr>
          <w:sz w:val="26"/>
          <w:szCs w:val="26"/>
        </w:rPr>
        <w:t>жению</w:t>
      </w:r>
      <w:r>
        <w:rPr>
          <w:rFonts w:eastAsia="Calibri" w:cs="Times New Roman"/>
          <w:color w:val="0D0D0D"/>
          <w:sz w:val="26"/>
          <w:szCs w:val="26"/>
        </w:rPr>
        <w:t xml:space="preserve"> заявленной цели регулирования.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  <w:r w:rsidR="00FD12E8" w:rsidRPr="00FD12E8">
        <w:rPr>
          <w:rFonts w:cs="Times New Roman"/>
          <w:color w:val="0D0D0D"/>
          <w:szCs w:val="28"/>
          <w:u w:val="single"/>
        </w:rPr>
        <w:t xml:space="preserve"> </w:t>
      </w:r>
      <w:r w:rsidR="00FD12E8">
        <w:rPr>
          <w:rFonts w:cs="Times New Roman"/>
          <w:color w:val="0D0D0D"/>
          <w:szCs w:val="28"/>
          <w:u w:val="single"/>
        </w:rPr>
        <w:t xml:space="preserve"> В течение срока, предусмотренного для принятия предложений в ходе публичных консультаций, предложений не поступило.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54198A" w:rsidRDefault="0054198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Приложени</w:t>
      </w:r>
      <w:r w:rsidR="0070679E">
        <w:rPr>
          <w:rFonts w:cs="Times New Roman"/>
          <w:color w:val="0D0D0D"/>
          <w:szCs w:val="28"/>
        </w:rPr>
        <w:t>е</w:t>
      </w:r>
      <w:r>
        <w:rPr>
          <w:rFonts w:cs="Times New Roman"/>
          <w:color w:val="0D0D0D"/>
          <w:szCs w:val="28"/>
        </w:rPr>
        <w:t xml:space="preserve"> (</w:t>
      </w:r>
      <w:r w:rsidR="00606ABA" w:rsidRPr="00606ABA">
        <w:rPr>
          <w:rFonts w:cs="Times New Roman"/>
          <w:color w:val="0D0D0D"/>
          <w:szCs w:val="28"/>
          <w:u w:val="single"/>
        </w:rPr>
        <w:t>муниципальная программа</w:t>
      </w:r>
      <w:r w:rsidR="00606ABA">
        <w:rPr>
          <w:rFonts w:cs="Times New Roman"/>
          <w:color w:val="0D0D0D"/>
          <w:szCs w:val="28"/>
        </w:rPr>
        <w:t xml:space="preserve"> </w:t>
      </w:r>
      <w:r w:rsidR="00FF1CDA" w:rsidRPr="00DE434C">
        <w:rPr>
          <w:rFonts w:cs="Times New Roman"/>
          <w:szCs w:val="28"/>
        </w:rPr>
        <w:t xml:space="preserve">«Формирование комфортной городской среды на территории муниципального района </w:t>
      </w:r>
      <w:proofErr w:type="spellStart"/>
      <w:r w:rsidR="00FF1CDA" w:rsidRPr="00DE434C">
        <w:rPr>
          <w:rFonts w:cs="Times New Roman"/>
          <w:szCs w:val="28"/>
        </w:rPr>
        <w:t>Похвистневский</w:t>
      </w:r>
      <w:proofErr w:type="spellEnd"/>
      <w:r w:rsidR="00FF1CDA" w:rsidRPr="00DE434C">
        <w:rPr>
          <w:rFonts w:cs="Times New Roman"/>
          <w:szCs w:val="28"/>
        </w:rPr>
        <w:t xml:space="preserve"> Самарской области на 2018-2022 годы»</w:t>
      </w:r>
      <w:r>
        <w:rPr>
          <w:rFonts w:cs="Times New Roman"/>
          <w:color w:val="0D0D0D"/>
          <w:szCs w:val="28"/>
        </w:rPr>
        <w:t>).</w:t>
      </w:r>
    </w:p>
    <w:p w:rsidR="00606ABA" w:rsidRDefault="00606ABA" w:rsidP="00C835E1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A06B9" w:rsidRPr="004E36EA" w:rsidRDefault="005A06B9" w:rsidP="00C835E1">
      <w:pPr>
        <w:spacing w:after="0" w:line="240" w:lineRule="auto"/>
        <w:rPr>
          <w:szCs w:val="28"/>
        </w:rPr>
      </w:pPr>
      <w:r w:rsidRPr="004E36EA">
        <w:rPr>
          <w:szCs w:val="28"/>
        </w:rPr>
        <w:t>Заместитель Главы района</w:t>
      </w:r>
    </w:p>
    <w:p w:rsidR="005A06B9" w:rsidRDefault="005A06B9" w:rsidP="00C835E1">
      <w:pPr>
        <w:spacing w:after="0" w:line="240" w:lineRule="auto"/>
        <w:rPr>
          <w:szCs w:val="28"/>
        </w:rPr>
      </w:pPr>
      <w:r w:rsidRPr="004E36EA">
        <w:rPr>
          <w:szCs w:val="28"/>
        </w:rPr>
        <w:t>по экономике и финансам,</w:t>
      </w:r>
    </w:p>
    <w:p w:rsidR="005A06B9" w:rsidRPr="004E36EA" w:rsidRDefault="005A06B9" w:rsidP="00C835E1">
      <w:pPr>
        <w:spacing w:after="0" w:line="240" w:lineRule="auto"/>
        <w:rPr>
          <w:szCs w:val="28"/>
        </w:rPr>
      </w:pPr>
      <w:r w:rsidRPr="004E36EA">
        <w:rPr>
          <w:szCs w:val="28"/>
        </w:rPr>
        <w:t xml:space="preserve">руководитель контрактной службы                </w:t>
      </w:r>
      <w:r>
        <w:rPr>
          <w:szCs w:val="28"/>
        </w:rPr>
        <w:t>_________________</w:t>
      </w:r>
      <w:r w:rsidRPr="004E36EA">
        <w:rPr>
          <w:szCs w:val="28"/>
        </w:rPr>
        <w:t xml:space="preserve">       </w:t>
      </w:r>
      <w:proofErr w:type="spellStart"/>
      <w:r w:rsidRPr="004E36EA">
        <w:rPr>
          <w:szCs w:val="28"/>
        </w:rPr>
        <w:t>М.К.Мамышев</w:t>
      </w:r>
      <w:proofErr w:type="spellEnd"/>
    </w:p>
    <w:p w:rsidR="005A06B9" w:rsidRPr="00487F2C" w:rsidRDefault="005A06B9" w:rsidP="00C835E1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  <w:r>
        <w:rPr>
          <w:szCs w:val="28"/>
        </w:rPr>
        <w:t>«</w:t>
      </w:r>
      <w:r w:rsidR="00FF1CDA">
        <w:rPr>
          <w:szCs w:val="28"/>
        </w:rPr>
        <w:t>28</w:t>
      </w:r>
      <w:r w:rsidRPr="004E36EA">
        <w:rPr>
          <w:szCs w:val="28"/>
        </w:rPr>
        <w:t>»</w:t>
      </w:r>
      <w:r w:rsidR="00FF1CDA">
        <w:rPr>
          <w:szCs w:val="28"/>
        </w:rPr>
        <w:t>ноя</w:t>
      </w:r>
      <w:r>
        <w:rPr>
          <w:szCs w:val="28"/>
        </w:rPr>
        <w:t>бря</w:t>
      </w:r>
      <w:r w:rsidRPr="004E36EA">
        <w:rPr>
          <w:szCs w:val="28"/>
        </w:rPr>
        <w:t xml:space="preserve"> 201</w:t>
      </w:r>
      <w:r w:rsidR="00FF1CDA">
        <w:rPr>
          <w:szCs w:val="28"/>
        </w:rPr>
        <w:t>9</w:t>
      </w:r>
      <w:r w:rsidRPr="004E36EA">
        <w:rPr>
          <w:szCs w:val="28"/>
        </w:rPr>
        <w:t xml:space="preserve"> г.</w:t>
      </w:r>
    </w:p>
    <w:sectPr w:rsidR="005A06B9" w:rsidRPr="00487F2C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0A7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06B9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6ABA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CAE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79E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6C75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9C1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1A2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5318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1A5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5E1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35C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4CF8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310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2E8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4F6C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1CD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F4310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F4310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249C1"/>
    <w:pPr>
      <w:ind w:left="720"/>
      <w:contextualSpacing/>
    </w:pPr>
    <w:rPr>
      <w:rFonts w:asciiTheme="minorHAnsi" w:eastAsia="Times New Roman" w:hAnsiTheme="minorHAnsi" w:cs="Times New Roman"/>
      <w:color w:val="auto"/>
      <w:w w:val="1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2019-12-20T06:21:00Z</cp:lastPrinted>
  <dcterms:created xsi:type="dcterms:W3CDTF">2019-02-06T06:40:00Z</dcterms:created>
  <dcterms:modified xsi:type="dcterms:W3CDTF">2019-12-20T06:21:00Z</dcterms:modified>
</cp:coreProperties>
</file>