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99153" w14:textId="77777777" w:rsidR="00C010D6" w:rsidRPr="00B64B56" w:rsidRDefault="00C010D6" w:rsidP="00C010D6">
      <w:pPr>
        <w:keepNext/>
        <w:keepLines/>
        <w:spacing w:before="0" w:after="0" w:line="240" w:lineRule="auto"/>
        <w:ind w:firstLine="0"/>
        <w:jc w:val="right"/>
        <w:rPr>
          <w:sz w:val="24"/>
          <w:szCs w:val="24"/>
        </w:rPr>
      </w:pPr>
      <w:r w:rsidRPr="00B64B56">
        <w:rPr>
          <w:sz w:val="24"/>
          <w:szCs w:val="24"/>
        </w:rPr>
        <w:t>Приложение № 5</w:t>
      </w:r>
      <w:r w:rsidRPr="00B64B56">
        <w:rPr>
          <w:sz w:val="24"/>
          <w:szCs w:val="24"/>
        </w:rPr>
        <w:br/>
        <w:t>к Учетной политике</w:t>
      </w:r>
      <w:r w:rsidRPr="00B64B56">
        <w:rPr>
          <w:sz w:val="24"/>
          <w:szCs w:val="24"/>
        </w:rPr>
        <w:br/>
        <w:t>для целей бюджетного учета</w:t>
      </w:r>
    </w:p>
    <w:p w14:paraId="4E18E934" w14:textId="77777777" w:rsidR="00C010D6" w:rsidRPr="00B64B56" w:rsidRDefault="00C010D6" w:rsidP="00C010D6">
      <w:pPr>
        <w:pStyle w:val="a4"/>
        <w:spacing w:before="0" w:after="0"/>
        <w:rPr>
          <w:sz w:val="24"/>
          <w:szCs w:val="24"/>
        </w:rPr>
      </w:pPr>
      <w:bookmarkStart w:id="0" w:name="_docStart_8"/>
      <w:bookmarkStart w:id="1" w:name="_title_8"/>
      <w:bookmarkStart w:id="2" w:name="_ref_1-1b9b7f229e5a43"/>
      <w:bookmarkEnd w:id="0"/>
      <w:r w:rsidRPr="00B64B56">
        <w:rPr>
          <w:sz w:val="24"/>
          <w:szCs w:val="24"/>
        </w:rPr>
        <w:t>Порядок проведения инвентаризации активов и обязательств</w:t>
      </w:r>
      <w:bookmarkEnd w:id="1"/>
      <w:bookmarkEnd w:id="2"/>
    </w:p>
    <w:p w14:paraId="2CB757BE" w14:textId="77777777" w:rsidR="00C010D6" w:rsidRPr="00B64B56" w:rsidRDefault="00C010D6" w:rsidP="00C010D6">
      <w:pPr>
        <w:spacing w:before="0" w:after="0" w:line="240" w:lineRule="auto"/>
        <w:rPr>
          <w:sz w:val="24"/>
          <w:szCs w:val="24"/>
        </w:rPr>
      </w:pPr>
    </w:p>
    <w:p w14:paraId="10ADE46D" w14:textId="77777777" w:rsidR="00C010D6" w:rsidRPr="00B64B56" w:rsidRDefault="00C010D6" w:rsidP="00C010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 </w:t>
      </w:r>
    </w:p>
    <w:p w14:paraId="7A20D940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0"/>
        <w:jc w:val="center"/>
        <w:outlineLvl w:val="0"/>
        <w:rPr>
          <w:sz w:val="24"/>
          <w:szCs w:val="24"/>
        </w:rPr>
      </w:pPr>
      <w:r w:rsidRPr="00B64B56">
        <w:rPr>
          <w:sz w:val="24"/>
          <w:szCs w:val="24"/>
        </w:rPr>
        <w:tab/>
      </w:r>
      <w:bookmarkStart w:id="3" w:name="_ref_1-8b30a125bab24c"/>
      <w:r w:rsidRPr="00B64B56">
        <w:rPr>
          <w:b/>
          <w:bCs/>
          <w:sz w:val="24"/>
          <w:szCs w:val="24"/>
        </w:rPr>
        <w:t>1. Организация проведения инвентаризации</w:t>
      </w:r>
    </w:p>
    <w:p w14:paraId="593B5A2B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54FF0F71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1.1. Целями инвентаризации являются выявление фактического наличия имущества, сопоставление с данными бюджетного учета и проверка полноты отражения в бухгалтерском учете обязательств.</w:t>
      </w:r>
    </w:p>
    <w:p w14:paraId="58004A80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1.2. Настоящее Положение устанавливает порядок проведения инвентаризации имущества и обязательств и оформления ее результатов.</w:t>
      </w:r>
    </w:p>
    <w:p w14:paraId="1E36F249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 xml:space="preserve">1.3. Количество инвентаризаций в отчетном году, дата их проведения, перечень имущества и финансовых обязательств, проверяемых при каждой из них, устанавливаются отдельным приказом руководителя учреждения, кроме случаев, предусмотренных в </w:t>
      </w:r>
      <w:hyperlink r:id="rId5" w:history="1">
        <w:r w:rsidRPr="00B64B56">
          <w:rPr>
            <w:sz w:val="24"/>
            <w:szCs w:val="24"/>
          </w:rPr>
          <w:t>п. 81</w:t>
        </w:r>
      </w:hyperlink>
      <w:r w:rsidRPr="00B64B56">
        <w:rPr>
          <w:sz w:val="24"/>
          <w:szCs w:val="24"/>
        </w:rPr>
        <w:t xml:space="preserve"> ФСБУ "Концептуальные основы".</w:t>
      </w:r>
    </w:p>
    <w:p w14:paraId="3CF98F92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 xml:space="preserve">1.4. В целях проведения инвентаризаций в учреждении создается постоянно действующая инвентаризационная комиссия, членами которой могут быть работники учреждения. </w:t>
      </w:r>
    </w:p>
    <w:p w14:paraId="4D059E98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1.5. Председатель инвентаризационной комиссии перед началом инвентаризации подготавливает план работы, проводит инструктаж с членами комиссии и организует изучение ими законодательства РФ, нормативных правовых актов по проведению инвентаризации, организации и ведению бюджетного учета имущества и обязательств, знакомит членов комиссии с материалами предыдущих инвентаризаций, ревизий и проверок.</w:t>
      </w:r>
    </w:p>
    <w:p w14:paraId="6BA1FCCA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До начала проверки председатель инвентаризационной комиссии обязан завизировать последние приходные и расходные документы и сделать в них запись: "До инвентаризации на "__________" (дата)". После этого работники бухгалтерии отражают в регистрах учета указанные документы, определяют остатки инвентаризируемого имущества и обязательств к началу инвентаризации.</w:t>
      </w:r>
    </w:p>
    <w:p w14:paraId="406BCDD7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1.6. Материально ответственные лица в состав инвентаризационной комиссии не входят, присутствие указанных лиц при проверке фактического наличия имущества является обязательным.</w:t>
      </w:r>
    </w:p>
    <w:p w14:paraId="02C47FB6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Члены инвентаризационной комиссии обязаны взять расписки у материально ответственных лиц о том, что к началу инвентаризации все расходные и приходные документы указанными лицами сданы в бухгалтерию или переданы комиссии и все ценности, поступившие на их ответственное хранение, оприходованы, а выбывшие списаны в расход. Аналогичные расписки дают и лица, имеющие подотчетные суммы на приобретение или доверенности на получение имущества.</w:t>
      </w:r>
    </w:p>
    <w:p w14:paraId="47640AFC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 xml:space="preserve">1.7. Фактическое наличие находящегося в учреждении имущества при инвентаризации проверяют путем подсчета. </w:t>
      </w:r>
    </w:p>
    <w:p w14:paraId="64064348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1.8. Результаты инвентаризации отражаются в инвентаризационных описях. Инвентаризационная комиссия обеспечивает полноту и точность внесения в описи данных о фактических остатках имущества, правильность и своевременность оформления материалов инвентаризации. Для каждого вида имущества оформляется своя форма инвентаризационной описи.</w:t>
      </w:r>
    </w:p>
    <w:p w14:paraId="5F501AEA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 xml:space="preserve">1.9. Инвентаризационные описи составляются не менее чем в двух экземплярах отдельно по каждому месту хранения ценностей и материально ответственному лицу. Указанные документы подписывают все члены инвентаризационной комиссии и материально ответственные лица. В конце описи материально ответственные лица дают расписку об отсутствии к членам комиссии каких-либо претензий и принятии перечисленного в описи </w:t>
      </w:r>
      <w:r w:rsidRPr="00B64B56">
        <w:rPr>
          <w:sz w:val="24"/>
          <w:szCs w:val="24"/>
        </w:rPr>
        <w:lastRenderedPageBreak/>
        <w:t>имущества на ответственное хранение. Кроме того, расписка подтверждает, что проверка имущества производилась в присутствии материально ответственных лиц. Один экземпляр передается в бухгалтерию, а второй остается у материально ответственных лиц.</w:t>
      </w:r>
    </w:p>
    <w:p w14:paraId="1F256338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1.10. На имущество, полученное в пользование, находящееся на ответственном хранении или полученное для переработки, составляются отдельные описи.</w:t>
      </w:r>
    </w:p>
    <w:p w14:paraId="785C1782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7FFED0F5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0"/>
        <w:jc w:val="center"/>
        <w:outlineLvl w:val="0"/>
        <w:rPr>
          <w:sz w:val="24"/>
          <w:szCs w:val="24"/>
        </w:rPr>
      </w:pPr>
      <w:r w:rsidRPr="00B64B56">
        <w:rPr>
          <w:b/>
          <w:bCs/>
          <w:sz w:val="24"/>
          <w:szCs w:val="24"/>
        </w:rPr>
        <w:t>2. Имущество и обязательства, подлежащие инвентаризации</w:t>
      </w:r>
    </w:p>
    <w:p w14:paraId="6DA33539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293DAD0A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2.1. Инвентаризации подлежит все имущество учреждения независимо от его местонахождения, а также все виды обязательств, в том числе:</w:t>
      </w:r>
    </w:p>
    <w:p w14:paraId="3E2430AD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- имущество и обязательства, учтенные на балансовых счетах;</w:t>
      </w:r>
    </w:p>
    <w:p w14:paraId="0D6C20BC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- имущество и обязательства, учтенные на забалансовых счетах;</w:t>
      </w:r>
    </w:p>
    <w:p w14:paraId="08309581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- другое имущество и обязательства в соответствии с приказом об инвентаризации.</w:t>
      </w:r>
    </w:p>
    <w:p w14:paraId="4AE43B19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Фактически находящееся в учреждении имущество, не учтенное по каким-либо причинам, подлежит принятию к бюджетному учету.</w:t>
      </w:r>
    </w:p>
    <w:p w14:paraId="30BC01A1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37974545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0"/>
        <w:jc w:val="center"/>
        <w:outlineLvl w:val="0"/>
        <w:rPr>
          <w:sz w:val="24"/>
          <w:szCs w:val="24"/>
        </w:rPr>
      </w:pPr>
      <w:r w:rsidRPr="00B64B56">
        <w:rPr>
          <w:b/>
          <w:bCs/>
          <w:sz w:val="24"/>
          <w:szCs w:val="24"/>
        </w:rPr>
        <w:t>3. Оформление результатов инвентаризации</w:t>
      </w:r>
    </w:p>
    <w:p w14:paraId="4149425B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0"/>
        <w:jc w:val="center"/>
        <w:rPr>
          <w:sz w:val="24"/>
          <w:szCs w:val="24"/>
        </w:rPr>
      </w:pPr>
      <w:r w:rsidRPr="00B64B56">
        <w:rPr>
          <w:b/>
          <w:bCs/>
          <w:sz w:val="24"/>
          <w:szCs w:val="24"/>
        </w:rPr>
        <w:t>и регулирование выявленных расхождений</w:t>
      </w:r>
    </w:p>
    <w:p w14:paraId="3283722E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0"/>
        <w:rPr>
          <w:sz w:val="24"/>
          <w:szCs w:val="24"/>
        </w:rPr>
      </w:pPr>
    </w:p>
    <w:p w14:paraId="77C00F5F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 xml:space="preserve">3.1. На основании инвентаризационных описей, по которым выявлено несоответствие фактического наличия финансовых и нефинансовых активов, иного имущества и обязательств данным бюджетного учета, бухгалтерия оформляет Ведомости расхождений по результатам инвентаризации </w:t>
      </w:r>
      <w:hyperlink r:id="rId6" w:history="1">
        <w:r w:rsidRPr="00B64B56">
          <w:rPr>
            <w:sz w:val="24"/>
            <w:szCs w:val="24"/>
          </w:rPr>
          <w:t>(ф. 0504092)</w:t>
        </w:r>
      </w:hyperlink>
      <w:r w:rsidRPr="00B64B56">
        <w:rPr>
          <w:sz w:val="24"/>
          <w:szCs w:val="24"/>
        </w:rPr>
        <w:t>. В них фиксируются установленные расхождения с данными бюджетного учета - недостачи и излишки по каждому объекту учета в количественном и стоимостном выражении. На ценности, не принадлежащие учреждению на праве оперативного управления, но числящиеся (или подлежащие отражению) в бюджетном учете на забалансовых счетах, составляется отдельная ведомость.</w:t>
      </w:r>
    </w:p>
    <w:p w14:paraId="1E1AA65A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3.2. Оформленные ведомости подписываются главным бухгалтером и исполнителем и передаются председателю инвентаризационной комиссии.</w:t>
      </w:r>
    </w:p>
    <w:p w14:paraId="7F6C8177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3.3. По всем недостачам и излишкам инвентаризационная комиссия получает письменные объяснения материально ответственных лиц, что должно быть отражено в инвентаризационных описях.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бюджетного учета.</w:t>
      </w:r>
    </w:p>
    <w:p w14:paraId="00AFA9F8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3.4. По результатам инвентаризации председатель инвентаризационной комиссии готовит для руководителя учреждения предложения:</w:t>
      </w:r>
    </w:p>
    <w:p w14:paraId="6E184CC2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- по списанию недостач имущества, а также имущества, пришедшего в негодность, и, при необходимости, по их отнесению за счет виновных лиц;</w:t>
      </w:r>
    </w:p>
    <w:p w14:paraId="35459B20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- по оприходованию излишков;</w:t>
      </w:r>
    </w:p>
    <w:p w14:paraId="4A5CE82D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- по списанию невостребованной кредиторской задолженности;</w:t>
      </w:r>
    </w:p>
    <w:p w14:paraId="6943E01C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- по оптимизации приема, хранения и отпуска материальных ценностей;</w:t>
      </w:r>
    </w:p>
    <w:p w14:paraId="6BF9833C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- иные предложения.</w:t>
      </w:r>
    </w:p>
    <w:p w14:paraId="5E2C98AB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 xml:space="preserve">3.5. На основании инвентаризационных описей комиссия составляет Акт о результатах инвентаризации </w:t>
      </w:r>
      <w:hyperlink r:id="rId7" w:history="1">
        <w:r w:rsidRPr="00B64B56">
          <w:rPr>
            <w:sz w:val="24"/>
            <w:szCs w:val="24"/>
          </w:rPr>
          <w:t>(ф. 0504835)</w:t>
        </w:r>
      </w:hyperlink>
      <w:r w:rsidRPr="00B64B56">
        <w:rPr>
          <w:sz w:val="24"/>
          <w:szCs w:val="24"/>
        </w:rPr>
        <w:t xml:space="preserve">. При выявлении по результатам инвентаризации расхождений к Акту прилагается Ведомость расхождений по результатам инвентаризации </w:t>
      </w:r>
      <w:hyperlink r:id="rId8" w:history="1">
        <w:r w:rsidRPr="00B64B56">
          <w:rPr>
            <w:sz w:val="24"/>
            <w:szCs w:val="24"/>
          </w:rPr>
          <w:t>(ф. 0504092)</w:t>
        </w:r>
      </w:hyperlink>
      <w:r w:rsidRPr="00B64B56">
        <w:rPr>
          <w:sz w:val="24"/>
          <w:szCs w:val="24"/>
        </w:rPr>
        <w:t>.</w:t>
      </w:r>
    </w:p>
    <w:p w14:paraId="6FE9CC55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Этот акт представляется на рассмотрение и утверждение руководителю учреждения с приложением ведомости расхождений по результатам инвентаризации.</w:t>
      </w:r>
    </w:p>
    <w:p w14:paraId="7750CE83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>3.6. По результатам инвентаризации руководитель учреждения издает приказ.</w:t>
      </w:r>
    </w:p>
    <w:p w14:paraId="720F7EAF" w14:textId="77777777" w:rsidR="00C010D6" w:rsidRPr="00B64B56" w:rsidRDefault="00C010D6" w:rsidP="00C010D6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B64B56">
        <w:rPr>
          <w:sz w:val="24"/>
          <w:szCs w:val="24"/>
        </w:rPr>
        <w:t xml:space="preserve">3.7. Результаты проведения инвентаризации отражаются в бюджетном учете и отчетности того отчетного периода, в котором была закончена инвентаризация. При </w:t>
      </w:r>
      <w:r w:rsidRPr="00B64B56">
        <w:rPr>
          <w:sz w:val="24"/>
          <w:szCs w:val="24"/>
        </w:rPr>
        <w:lastRenderedPageBreak/>
        <w:t>проведении инвентаризации в целях составления годовой отчетности результаты инвентаризации отражаются в этой годовой отчетности.</w:t>
      </w:r>
    </w:p>
    <w:bookmarkEnd w:id="3"/>
    <w:p w14:paraId="1B5E981D" w14:textId="77777777" w:rsidR="00681B8A" w:rsidRPr="00C010D6" w:rsidRDefault="00681B8A" w:rsidP="00C010D6"/>
    <w:sectPr w:rsidR="00681B8A" w:rsidRPr="00C010D6" w:rsidSect="004B2B85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852" w:firstLine="0"/>
      </w:pPr>
    </w:lvl>
  </w:abstractNum>
  <w:abstractNum w:abstractNumId="1" w15:restartNumberingAfterBreak="0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F7700"/>
    <w:multiLevelType w:val="multilevel"/>
    <w:tmpl w:val="52005730"/>
    <w:lvl w:ilvl="0">
      <w:start w:val="1"/>
      <w:numFmt w:val="decimal"/>
      <w:pStyle w:val="heading1normal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heading2normal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heading3normal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heading4normal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heading5nor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heading6nor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heading7nor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heading8nor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heading9normal"/>
      <w:suff w:val="space"/>
      <w:lvlText w:val="%1.%2.%3.%4.%5.%6.%7.%8.%9."/>
      <w:lvlJc w:val="left"/>
      <w:rPr>
        <w:rFonts w:hint="default"/>
      </w:rPr>
    </w:lvl>
  </w:abstractNum>
  <w:abstractNum w:abstractNumId="4" w15:restartNumberingAfterBreak="0">
    <w:nsid w:val="4F3F770A"/>
    <w:multiLevelType w:val="multilevel"/>
    <w:tmpl w:val="A7D2C938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  <w:color w:val="C00000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5" w15:restartNumberingAfterBreak="0">
    <w:nsid w:val="6A9B1C12"/>
    <w:multiLevelType w:val="hybridMultilevel"/>
    <w:tmpl w:val="BC0EDC1C"/>
    <w:lvl w:ilvl="0" w:tplc="459CF99E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num w:numId="1">
    <w:abstractNumId w:val="4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72"/>
    <w:rsid w:val="004B2B85"/>
    <w:rsid w:val="00681B8A"/>
    <w:rsid w:val="00A30172"/>
    <w:rsid w:val="00C010D6"/>
    <w:rsid w:val="00F41511"/>
    <w:rsid w:val="00FD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F2253"/>
  <w15:chartTrackingRefBased/>
  <w15:docId w15:val="{81DE040E-C40D-4452-9A28-CBE7F4487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172"/>
    <w:pPr>
      <w:spacing w:before="120" w:after="120" w:line="276" w:lineRule="auto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0172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A30172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A30172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A30172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A30172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A30172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A30172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A30172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A30172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0172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30172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0172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30172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30172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30172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30172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0172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30172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Normalunindented">
    <w:name w:val="Normal unindented"/>
    <w:aliases w:val="Обычный Без отступа"/>
    <w:qFormat/>
    <w:rsid w:val="00A30172"/>
    <w:pPr>
      <w:spacing w:before="120" w:after="120" w:line="276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heading1unnumbered">
    <w:name w:val="heading 1 unnumbered"/>
    <w:aliases w:val="Заголовок 1 Ненумерованный"/>
    <w:basedOn w:val="a"/>
    <w:next w:val="a"/>
    <w:uiPriority w:val="9"/>
    <w:qFormat/>
    <w:rsid w:val="00A30172"/>
    <w:pPr>
      <w:keepNext/>
      <w:keepLines/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A30172"/>
    <w:pPr>
      <w:numPr>
        <w:numId w:val="2"/>
      </w:numPr>
      <w:outlineLvl w:val="0"/>
    </w:pPr>
  </w:style>
  <w:style w:type="paragraph" w:customStyle="1" w:styleId="heading1normalunnumbered">
    <w:name w:val="heading 1 normal unnumbered"/>
    <w:aliases w:val="Заголовок 1 Обычный Ненумерованный"/>
    <w:basedOn w:val="a"/>
    <w:next w:val="a"/>
    <w:uiPriority w:val="9"/>
    <w:qFormat/>
    <w:rsid w:val="00A30172"/>
    <w:pPr>
      <w:outlineLvl w:val="0"/>
    </w:pPr>
  </w:style>
  <w:style w:type="paragraph" w:customStyle="1" w:styleId="heading2normal">
    <w:name w:val="heading 2 normal"/>
    <w:aliases w:val="Заголовок 2 Обычный"/>
    <w:basedOn w:val="a"/>
    <w:next w:val="a"/>
    <w:uiPriority w:val="9"/>
    <w:qFormat/>
    <w:rsid w:val="00A30172"/>
    <w:pPr>
      <w:numPr>
        <w:ilvl w:val="1"/>
        <w:numId w:val="2"/>
      </w:numPr>
      <w:outlineLvl w:val="1"/>
    </w:pPr>
  </w:style>
  <w:style w:type="paragraph" w:customStyle="1" w:styleId="heading3normal">
    <w:name w:val="heading 3 normal"/>
    <w:aliases w:val="Заголовок 3 Обычный"/>
    <w:basedOn w:val="a"/>
    <w:next w:val="a"/>
    <w:uiPriority w:val="9"/>
    <w:qFormat/>
    <w:rsid w:val="00A30172"/>
    <w:pPr>
      <w:numPr>
        <w:ilvl w:val="2"/>
        <w:numId w:val="2"/>
      </w:numPr>
      <w:outlineLvl w:val="2"/>
    </w:pPr>
  </w:style>
  <w:style w:type="paragraph" w:customStyle="1" w:styleId="heading4normal">
    <w:name w:val="heading 4 normal"/>
    <w:aliases w:val="Заголовок 4 Обычный"/>
    <w:basedOn w:val="a"/>
    <w:next w:val="a"/>
    <w:uiPriority w:val="9"/>
    <w:qFormat/>
    <w:rsid w:val="00A30172"/>
    <w:pPr>
      <w:numPr>
        <w:ilvl w:val="3"/>
        <w:numId w:val="2"/>
      </w:numPr>
      <w:outlineLvl w:val="3"/>
    </w:pPr>
  </w:style>
  <w:style w:type="paragraph" w:customStyle="1" w:styleId="heading5normal">
    <w:name w:val="heading 5 normal"/>
    <w:aliases w:val="Заголовок 5 Обычный"/>
    <w:basedOn w:val="a"/>
    <w:next w:val="a"/>
    <w:uiPriority w:val="9"/>
    <w:qFormat/>
    <w:rsid w:val="00A30172"/>
    <w:pPr>
      <w:numPr>
        <w:ilvl w:val="4"/>
        <w:numId w:val="2"/>
      </w:numPr>
      <w:outlineLvl w:val="4"/>
    </w:pPr>
  </w:style>
  <w:style w:type="paragraph" w:customStyle="1" w:styleId="heading6normal">
    <w:name w:val="heading 6 normal"/>
    <w:aliases w:val="Заголовок 6 Обычный"/>
    <w:basedOn w:val="a"/>
    <w:next w:val="a"/>
    <w:uiPriority w:val="9"/>
    <w:qFormat/>
    <w:rsid w:val="00A30172"/>
    <w:pPr>
      <w:numPr>
        <w:ilvl w:val="5"/>
        <w:numId w:val="2"/>
      </w:numPr>
      <w:outlineLvl w:val="5"/>
    </w:pPr>
  </w:style>
  <w:style w:type="paragraph" w:customStyle="1" w:styleId="heading7normal">
    <w:name w:val="heading 7 normal"/>
    <w:aliases w:val="Заголовок 7 Обычный"/>
    <w:basedOn w:val="a"/>
    <w:next w:val="a"/>
    <w:uiPriority w:val="9"/>
    <w:qFormat/>
    <w:rsid w:val="00A30172"/>
    <w:pPr>
      <w:numPr>
        <w:ilvl w:val="6"/>
        <w:numId w:val="2"/>
      </w:numPr>
      <w:outlineLvl w:val="6"/>
    </w:pPr>
  </w:style>
  <w:style w:type="paragraph" w:customStyle="1" w:styleId="heading8normal">
    <w:name w:val="heading 8 normal"/>
    <w:aliases w:val="Заголовок 8 Обычный"/>
    <w:basedOn w:val="a"/>
    <w:next w:val="a"/>
    <w:uiPriority w:val="9"/>
    <w:qFormat/>
    <w:rsid w:val="00A30172"/>
    <w:pPr>
      <w:numPr>
        <w:ilvl w:val="7"/>
        <w:numId w:val="2"/>
      </w:numPr>
      <w:outlineLvl w:val="7"/>
    </w:pPr>
  </w:style>
  <w:style w:type="paragraph" w:customStyle="1" w:styleId="heading9normal">
    <w:name w:val="heading 9 normal"/>
    <w:aliases w:val="Заголовок 9 Обычный"/>
    <w:basedOn w:val="a"/>
    <w:next w:val="a"/>
    <w:uiPriority w:val="9"/>
    <w:qFormat/>
    <w:rsid w:val="00A30172"/>
    <w:pPr>
      <w:numPr>
        <w:ilvl w:val="8"/>
        <w:numId w:val="2"/>
      </w:numPr>
      <w:outlineLvl w:val="8"/>
    </w:pPr>
  </w:style>
  <w:style w:type="paragraph" w:styleId="a3">
    <w:name w:val="caption"/>
    <w:basedOn w:val="a"/>
    <w:next w:val="a"/>
    <w:uiPriority w:val="35"/>
    <w:qFormat/>
    <w:rsid w:val="00A30172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Текст сноски Знак"/>
    <w:basedOn w:val="a"/>
    <w:next w:val="a"/>
    <w:link w:val="a5"/>
    <w:uiPriority w:val="10"/>
    <w:qFormat/>
    <w:rsid w:val="00A30172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5">
    <w:name w:val="Заголовок Знак"/>
    <w:aliases w:val="Текст сноски Знак Знак"/>
    <w:basedOn w:val="a0"/>
    <w:link w:val="a4"/>
    <w:uiPriority w:val="10"/>
    <w:rsid w:val="00A30172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A30172"/>
    <w:pPr>
      <w:numPr>
        <w:ilvl w:val="1"/>
      </w:numPr>
      <w:ind w:firstLine="482"/>
    </w:pPr>
    <w:rPr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30172"/>
    <w:rPr>
      <w:rFonts w:ascii="Times New Roman" w:eastAsia="Times New Roman" w:hAnsi="Times New Roman" w:cs="Times New Roman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30172"/>
    <w:rPr>
      <w:b/>
      <w:bCs/>
    </w:rPr>
  </w:style>
  <w:style w:type="character" w:styleId="a9">
    <w:name w:val="Emphasis"/>
    <w:basedOn w:val="a0"/>
    <w:uiPriority w:val="20"/>
    <w:qFormat/>
    <w:rsid w:val="00A30172"/>
    <w:rPr>
      <w:i/>
      <w:iCs/>
    </w:rPr>
  </w:style>
  <w:style w:type="paragraph" w:styleId="aa">
    <w:name w:val="No Spacing"/>
    <w:uiPriority w:val="1"/>
    <w:qFormat/>
    <w:rsid w:val="00A3017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b">
    <w:name w:val="List Paragraph"/>
    <w:basedOn w:val="a"/>
    <w:uiPriority w:val="34"/>
    <w:qFormat/>
    <w:rsid w:val="00A30172"/>
    <w:pPr>
      <w:contextualSpacing/>
      <w:jc w:val="left"/>
    </w:pPr>
  </w:style>
  <w:style w:type="paragraph" w:styleId="21">
    <w:name w:val="Quote"/>
    <w:basedOn w:val="a"/>
    <w:next w:val="a"/>
    <w:link w:val="22"/>
    <w:uiPriority w:val="29"/>
    <w:qFormat/>
    <w:rsid w:val="00A30172"/>
    <w:pPr>
      <w:pBdr>
        <w:left w:val="single" w:sz="24" w:space="10" w:color="999999"/>
      </w:pBdr>
      <w:spacing w:after="0"/>
      <w:ind w:left="964" w:firstLine="0"/>
    </w:pPr>
    <w:rPr>
      <w:i/>
      <w:iCs/>
      <w:color w:val="8064A2"/>
    </w:rPr>
  </w:style>
  <w:style w:type="character" w:customStyle="1" w:styleId="22">
    <w:name w:val="Цитата 2 Знак"/>
    <w:basedOn w:val="a0"/>
    <w:link w:val="21"/>
    <w:uiPriority w:val="29"/>
    <w:rsid w:val="00A30172"/>
    <w:rPr>
      <w:rFonts w:ascii="Times New Roman" w:eastAsia="Times New Roman" w:hAnsi="Times New Roman" w:cs="Times New Roman"/>
      <w:i/>
      <w:iCs/>
      <w:color w:val="8064A2"/>
      <w:lang w:eastAsia="ru-RU"/>
    </w:rPr>
  </w:style>
  <w:style w:type="paragraph" w:customStyle="1" w:styleId="DeletedPlaceholder">
    <w:name w:val="DeletedPlaceholder"/>
    <w:aliases w:val="Подстановка"/>
    <w:basedOn w:val="a"/>
    <w:next w:val="a"/>
    <w:link w:val="DeletedPlaceholder0"/>
    <w:uiPriority w:val="29"/>
    <w:qFormat/>
    <w:rsid w:val="00A30172"/>
    <w:pPr>
      <w:pBdr>
        <w:left w:val="single" w:sz="24" w:space="10" w:color="999999"/>
      </w:pBdr>
      <w:spacing w:after="0"/>
      <w:ind w:left="964" w:firstLine="0"/>
    </w:pPr>
    <w:rPr>
      <w:i/>
      <w:iCs/>
      <w:color w:val="FF3F1F"/>
    </w:rPr>
  </w:style>
  <w:style w:type="character" w:customStyle="1" w:styleId="DeletedPlaceholder0">
    <w:name w:val="DeletedPlaceholder Знак"/>
    <w:basedOn w:val="a0"/>
    <w:link w:val="DeletedPlaceholder"/>
    <w:uiPriority w:val="29"/>
    <w:rsid w:val="00A30172"/>
    <w:rPr>
      <w:rFonts w:ascii="Times New Roman" w:eastAsia="Times New Roman" w:hAnsi="Times New Roman" w:cs="Times New Roman"/>
      <w:i/>
      <w:iCs/>
      <w:color w:val="FF3F1F"/>
      <w:lang w:eastAsia="ru-RU"/>
    </w:rPr>
  </w:style>
  <w:style w:type="paragraph" w:customStyle="1" w:styleId="Warning">
    <w:name w:val="Warning"/>
    <w:aliases w:val="Предупреждение"/>
    <w:basedOn w:val="a"/>
    <w:next w:val="a"/>
    <w:uiPriority w:val="29"/>
    <w:qFormat/>
    <w:rsid w:val="00A30172"/>
    <w:pPr>
      <w:pBdr>
        <w:left w:val="single" w:sz="24" w:space="10" w:color="999999"/>
      </w:pBdr>
      <w:spacing w:after="0"/>
      <w:ind w:left="964" w:firstLine="0"/>
    </w:pPr>
    <w:rPr>
      <w:i/>
      <w:iCs/>
      <w:color w:val="E36C0A"/>
    </w:rPr>
  </w:style>
  <w:style w:type="paragraph" w:customStyle="1" w:styleId="QuoteMargin">
    <w:name w:val="QuoteMargin"/>
    <w:aliases w:val="Предупреждение Отступ"/>
    <w:qFormat/>
    <w:rsid w:val="00A30172"/>
    <w:pPr>
      <w:spacing w:before="120" w:after="0" w:line="276" w:lineRule="auto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c">
    <w:name w:val="Intense Quote"/>
    <w:basedOn w:val="a"/>
    <w:next w:val="a"/>
    <w:link w:val="ad"/>
    <w:uiPriority w:val="30"/>
    <w:qFormat/>
    <w:rsid w:val="00A30172"/>
    <w:pPr>
      <w:pBdr>
        <w:bottom w:val="single" w:sz="4" w:space="4" w:color="4F81BD"/>
      </w:pBdr>
      <w:spacing w:before="200" w:after="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A30172"/>
    <w:rPr>
      <w:rFonts w:ascii="Times New Roman" w:eastAsia="Times New Roman" w:hAnsi="Times New Roman" w:cs="Times New Roman"/>
      <w:b/>
      <w:bCs/>
      <w:i/>
      <w:iCs/>
      <w:color w:val="4F81BD"/>
      <w:lang w:eastAsia="ru-RU"/>
    </w:rPr>
  </w:style>
  <w:style w:type="character" w:styleId="ae">
    <w:name w:val="Subtle Emphasis"/>
    <w:basedOn w:val="a0"/>
    <w:uiPriority w:val="19"/>
    <w:qFormat/>
    <w:rsid w:val="00A30172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A30172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A30172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A30172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A3017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A30172"/>
    <w:pPr>
      <w:outlineLvl w:val="9"/>
    </w:pPr>
  </w:style>
  <w:style w:type="paragraph" w:styleId="af4">
    <w:name w:val="Document Map"/>
    <w:basedOn w:val="a"/>
    <w:link w:val="af5"/>
    <w:uiPriority w:val="99"/>
    <w:semiHidden/>
    <w:unhideWhenUsed/>
    <w:rsid w:val="00A30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A30172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header"/>
    <w:basedOn w:val="a"/>
    <w:link w:val="af7"/>
    <w:uiPriority w:val="99"/>
    <w:unhideWhenUsed/>
    <w:rsid w:val="00A30172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rsid w:val="00A30172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8">
    <w:name w:val="footer"/>
    <w:basedOn w:val="a"/>
    <w:link w:val="af9"/>
    <w:uiPriority w:val="99"/>
    <w:unhideWhenUsed/>
    <w:rsid w:val="00A30172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9">
    <w:name w:val="Нижний колонтитул Знак"/>
    <w:basedOn w:val="a0"/>
    <w:link w:val="af8"/>
    <w:uiPriority w:val="99"/>
    <w:rsid w:val="00A3017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a">
    <w:name w:val="footnote reference"/>
    <w:basedOn w:val="a0"/>
    <w:rsid w:val="00A30172"/>
    <w:rPr>
      <w:vertAlign w:val="superscript"/>
    </w:rPr>
  </w:style>
  <w:style w:type="paragraph" w:styleId="afb">
    <w:name w:val="footnote text"/>
    <w:basedOn w:val="a"/>
    <w:link w:val="11"/>
    <w:rsid w:val="00A30172"/>
    <w:pPr>
      <w:spacing w:line="216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fb"/>
    <w:rsid w:val="00A301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otnotetextunindented">
    <w:name w:val="footnote text unindented"/>
    <w:aliases w:val="Текст сноски Без отступа"/>
    <w:basedOn w:val="Normalunindented"/>
    <w:rsid w:val="00A30172"/>
    <w:pPr>
      <w:spacing w:line="216" w:lineRule="auto"/>
    </w:pPr>
    <w:rPr>
      <w:sz w:val="20"/>
      <w:szCs w:val="20"/>
    </w:rPr>
  </w:style>
  <w:style w:type="paragraph" w:customStyle="1" w:styleId="listfootnotetext">
    <w:name w:val="list footnote text"/>
    <w:aliases w:val="Текст сноски Абзац списка"/>
    <w:basedOn w:val="ab"/>
    <w:rsid w:val="00A30172"/>
    <w:pPr>
      <w:spacing w:line="216" w:lineRule="auto"/>
    </w:pPr>
    <w:rPr>
      <w:sz w:val="20"/>
      <w:szCs w:val="20"/>
    </w:rPr>
  </w:style>
  <w:style w:type="character" w:styleId="afc">
    <w:name w:val="Hyperlink"/>
    <w:uiPriority w:val="99"/>
    <w:unhideWhenUsed/>
    <w:rsid w:val="00A30172"/>
    <w:rPr>
      <w:color w:val="0000FF"/>
      <w:u w:val="single"/>
    </w:rPr>
  </w:style>
  <w:style w:type="paragraph" w:styleId="afd">
    <w:name w:val="Balloon Text"/>
    <w:basedOn w:val="a"/>
    <w:link w:val="afe"/>
    <w:uiPriority w:val="99"/>
    <w:semiHidden/>
    <w:unhideWhenUsed/>
    <w:rsid w:val="00A30172"/>
    <w:pPr>
      <w:spacing w:before="0" w:after="0"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301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-listtarget">
    <w:name w:val="header-listtarget"/>
    <w:basedOn w:val="a"/>
    <w:rsid w:val="00A30172"/>
    <w:pPr>
      <w:shd w:val="clear" w:color="auto" w:fill="E66E5A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</w:rPr>
  </w:style>
  <w:style w:type="character" w:customStyle="1" w:styleId="lspace">
    <w:name w:val="lspace"/>
    <w:rsid w:val="00A30172"/>
    <w:rPr>
      <w:color w:val="FF9900"/>
    </w:rPr>
  </w:style>
  <w:style w:type="character" w:customStyle="1" w:styleId="small">
    <w:name w:val="small"/>
    <w:rsid w:val="00A30172"/>
    <w:rPr>
      <w:sz w:val="16"/>
      <w:szCs w:val="16"/>
    </w:rPr>
  </w:style>
  <w:style w:type="character" w:customStyle="1" w:styleId="fill">
    <w:name w:val="fill"/>
    <w:rsid w:val="00A30172"/>
    <w:rPr>
      <w:b/>
      <w:bCs/>
      <w:i/>
      <w:iCs/>
      <w:color w:val="FF0000"/>
    </w:rPr>
  </w:style>
  <w:style w:type="character" w:customStyle="1" w:styleId="enp">
    <w:name w:val="enp"/>
    <w:rsid w:val="00A30172"/>
    <w:rPr>
      <w:color w:val="3C7828"/>
    </w:rPr>
  </w:style>
  <w:style w:type="character" w:customStyle="1" w:styleId="kdkss">
    <w:name w:val="kdkss"/>
    <w:rsid w:val="00A30172"/>
    <w:rPr>
      <w:color w:val="BE780A"/>
    </w:rPr>
  </w:style>
  <w:style w:type="paragraph" w:styleId="aff">
    <w:name w:val="annotation text"/>
    <w:basedOn w:val="a"/>
    <w:link w:val="aff0"/>
    <w:uiPriority w:val="99"/>
    <w:semiHidden/>
    <w:unhideWhenUsed/>
    <w:rsid w:val="00A30172"/>
    <w:pPr>
      <w:spacing w:before="0" w:after="0" w:line="240" w:lineRule="auto"/>
      <w:ind w:firstLine="0"/>
      <w:jc w:val="left"/>
    </w:pPr>
    <w:rPr>
      <w:rFonts w:ascii="Arial" w:hAnsi="Arial" w:cs="Arial"/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A30172"/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annotation reference"/>
    <w:uiPriority w:val="99"/>
    <w:semiHidden/>
    <w:unhideWhenUsed/>
    <w:rsid w:val="00A30172"/>
    <w:rPr>
      <w:sz w:val="16"/>
      <w:szCs w:val="16"/>
    </w:rPr>
  </w:style>
  <w:style w:type="paragraph" w:customStyle="1" w:styleId="ConsPlusNormal">
    <w:name w:val="ConsPlusNormal"/>
    <w:rsid w:val="00A301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 w:bidi="mr-IN"/>
    </w:rPr>
  </w:style>
  <w:style w:type="paragraph" w:styleId="aff2">
    <w:name w:val="Normal (Web)"/>
    <w:basedOn w:val="a"/>
    <w:uiPriority w:val="99"/>
    <w:semiHidden/>
    <w:unhideWhenUsed/>
    <w:rsid w:val="00A30172"/>
    <w:rPr>
      <w:sz w:val="24"/>
      <w:szCs w:val="24"/>
    </w:rPr>
  </w:style>
  <w:style w:type="paragraph" w:customStyle="1" w:styleId="ConsPlusTitle">
    <w:name w:val="ConsPlusTitle"/>
    <w:rsid w:val="00A301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D192DE3D436D6B9186B11F72B0CDDA52634CC79DBDFB029787836F3C95A2E40DF2220C41100DB830F7A98A6709CA1DB624336AGFkC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D192DE3D436D6B9186B11F72B0CDDA52634CC79DBDFB029787836F3C95A2E40DF2220444195AE074A9F0D92542C71AAE38336DE330B82DGCkC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CD192DE3D436D6B9186B11F72B0CDDA52634CC79DBDFB029787836F3C95A2E40DF2220C41100DB830F7A98A6709CA1DB624336AGFkCK" TargetMode="External"/><Relationship Id="rId5" Type="http://schemas.openxmlformats.org/officeDocument/2006/relationships/hyperlink" Target="consultantplus://offline/ref=ACD192DE3D436D6B9186B11F72B0CDDA526A4FC29AB9FB029787836F3C95A2E40DF22204441B5BE877A9F0D92542C71AAE38336DE330B82DGCkC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1053</Words>
  <Characters>6005</Characters>
  <Application>Microsoft Office Word</Application>
  <DocSecurity>0</DocSecurity>
  <Lines>50</Lines>
  <Paragraphs>14</Paragraphs>
  <ScaleCrop>false</ScaleCrop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АПК Похвистневское</dc:creator>
  <cp:keywords/>
  <dc:description/>
  <cp:lastModifiedBy>Управление АПК Похвистневское</cp:lastModifiedBy>
  <cp:revision>2</cp:revision>
  <dcterms:created xsi:type="dcterms:W3CDTF">2021-05-27T07:20:00Z</dcterms:created>
  <dcterms:modified xsi:type="dcterms:W3CDTF">2021-05-27T07:20:00Z</dcterms:modified>
</cp:coreProperties>
</file>