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A1" w:rsidRPr="0045078A" w:rsidRDefault="00FA6AA1" w:rsidP="00FA6AA1">
      <w:pPr>
        <w:keepNext/>
        <w:spacing w:after="60" w:line="240" w:lineRule="auto"/>
        <w:ind w:right="4886"/>
        <w:outlineLvl w:val="1"/>
        <w:rPr>
          <w:rFonts w:ascii="Times New Roman" w:eastAsia="Times New Roman" w:hAnsi="Times New Roman" w:cs="Times New Roman"/>
          <w:bCs/>
          <w:iCs/>
          <w:sz w:val="24"/>
          <w:szCs w:val="24"/>
          <w:lang w:eastAsia="ru-RU"/>
        </w:rPr>
      </w:pPr>
      <w:r w:rsidRPr="0045078A">
        <w:rPr>
          <w:rFonts w:ascii="Times New Roman" w:eastAsia="Times New Roman" w:hAnsi="Times New Roman" w:cs="Times New Roman"/>
          <w:bCs/>
          <w:i/>
          <w:iCs/>
          <w:sz w:val="24"/>
          <w:szCs w:val="24"/>
          <w:lang w:eastAsia="ru-RU"/>
        </w:rPr>
        <w:t xml:space="preserve">            </w:t>
      </w:r>
      <w:r w:rsidR="005279DD">
        <w:rPr>
          <w:rFonts w:ascii="Times New Roman" w:eastAsia="Times New Roman" w:hAnsi="Times New Roman" w:cs="Times New Roman"/>
          <w:bCs/>
          <w:i/>
          <w:iCs/>
          <w:sz w:val="24"/>
          <w:szCs w:val="24"/>
          <w:lang w:eastAsia="ru-RU"/>
        </w:rPr>
        <w:t xml:space="preserve">   </w:t>
      </w:r>
      <w:r w:rsidRPr="0045078A">
        <w:rPr>
          <w:rFonts w:ascii="Times New Roman" w:eastAsia="Times New Roman" w:hAnsi="Times New Roman" w:cs="Times New Roman"/>
          <w:bCs/>
          <w:iCs/>
          <w:sz w:val="24"/>
          <w:szCs w:val="24"/>
          <w:lang w:eastAsia="ru-RU"/>
        </w:rPr>
        <w:t xml:space="preserve">С О Б </w:t>
      </w:r>
      <w:proofErr w:type="gramStart"/>
      <w:r w:rsidRPr="0045078A">
        <w:rPr>
          <w:rFonts w:ascii="Times New Roman" w:eastAsia="Times New Roman" w:hAnsi="Times New Roman" w:cs="Times New Roman"/>
          <w:bCs/>
          <w:iCs/>
          <w:sz w:val="24"/>
          <w:szCs w:val="24"/>
          <w:lang w:eastAsia="ru-RU"/>
        </w:rPr>
        <w:t>Р</w:t>
      </w:r>
      <w:proofErr w:type="gramEnd"/>
      <w:r w:rsidRPr="0045078A">
        <w:rPr>
          <w:rFonts w:ascii="Times New Roman" w:eastAsia="Times New Roman" w:hAnsi="Times New Roman" w:cs="Times New Roman"/>
          <w:bCs/>
          <w:iCs/>
          <w:sz w:val="24"/>
          <w:szCs w:val="24"/>
          <w:lang w:eastAsia="ru-RU"/>
        </w:rPr>
        <w:t xml:space="preserve"> А Н И Е</w:t>
      </w:r>
    </w:p>
    <w:p w:rsidR="00FA6AA1" w:rsidRPr="0045078A" w:rsidRDefault="00FA6AA1" w:rsidP="00FA6AA1">
      <w:pPr>
        <w:keepNext/>
        <w:spacing w:after="60" w:line="240" w:lineRule="auto"/>
        <w:outlineLvl w:val="2"/>
        <w:rPr>
          <w:rFonts w:ascii="Times New Roman" w:eastAsia="Times New Roman" w:hAnsi="Times New Roman" w:cs="Times New Roman"/>
          <w:bCs/>
          <w:sz w:val="24"/>
          <w:szCs w:val="24"/>
          <w:lang w:eastAsia="ru-RU"/>
        </w:rPr>
      </w:pPr>
      <w:r w:rsidRPr="0045078A">
        <w:rPr>
          <w:rFonts w:ascii="Times New Roman" w:eastAsia="Times New Roman" w:hAnsi="Times New Roman" w:cs="Times New Roman"/>
          <w:bCs/>
          <w:sz w:val="24"/>
          <w:szCs w:val="24"/>
          <w:lang w:eastAsia="ru-RU"/>
        </w:rPr>
        <w:t xml:space="preserve">  </w:t>
      </w:r>
      <w:r w:rsidR="005279DD">
        <w:rPr>
          <w:rFonts w:ascii="Times New Roman" w:eastAsia="Times New Roman" w:hAnsi="Times New Roman" w:cs="Times New Roman"/>
          <w:bCs/>
          <w:sz w:val="24"/>
          <w:szCs w:val="24"/>
          <w:lang w:eastAsia="ru-RU"/>
        </w:rPr>
        <w:t xml:space="preserve">  </w:t>
      </w:r>
      <w:r w:rsidRPr="0045078A">
        <w:rPr>
          <w:rFonts w:ascii="Times New Roman" w:eastAsia="Times New Roman" w:hAnsi="Times New Roman" w:cs="Times New Roman"/>
          <w:bCs/>
          <w:sz w:val="24"/>
          <w:szCs w:val="24"/>
          <w:lang w:eastAsia="ru-RU"/>
        </w:rPr>
        <w:t xml:space="preserve"> </w:t>
      </w:r>
      <w:proofErr w:type="gramStart"/>
      <w:r w:rsidRPr="0045078A">
        <w:rPr>
          <w:rFonts w:ascii="Times New Roman" w:eastAsia="Times New Roman" w:hAnsi="Times New Roman" w:cs="Times New Roman"/>
          <w:bCs/>
          <w:sz w:val="24"/>
          <w:szCs w:val="24"/>
          <w:lang w:eastAsia="ru-RU"/>
        </w:rPr>
        <w:t>П</w:t>
      </w:r>
      <w:proofErr w:type="gramEnd"/>
      <w:r w:rsidRPr="0045078A">
        <w:rPr>
          <w:rFonts w:ascii="Times New Roman" w:eastAsia="Times New Roman" w:hAnsi="Times New Roman" w:cs="Times New Roman"/>
          <w:bCs/>
          <w:sz w:val="24"/>
          <w:szCs w:val="24"/>
          <w:lang w:eastAsia="ru-RU"/>
        </w:rPr>
        <w:t xml:space="preserve"> Р Е Д С Т А В И Т Е Л Е Й</w:t>
      </w:r>
    </w:p>
    <w:p w:rsidR="00FA6AA1" w:rsidRPr="0045078A"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sidRPr="0045078A">
        <w:rPr>
          <w:rFonts w:ascii="Times New Roman" w:eastAsia="Times New Roman" w:hAnsi="Times New Roman" w:cs="Times New Roman"/>
          <w:b/>
          <w:bCs/>
          <w:lang w:eastAsia="ru-RU"/>
        </w:rPr>
        <w:t xml:space="preserve">      СЕЛЬСКОГО ПОСЕЛЕНИЯ</w:t>
      </w:r>
    </w:p>
    <w:p w:rsidR="00FA6AA1" w:rsidRPr="00FA6AA1" w:rsidRDefault="005279DD"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w:t>
      </w:r>
      <w:r w:rsidR="00FE319E">
        <w:rPr>
          <w:rFonts w:ascii="Times New Roman" w:eastAsia="Times New Roman" w:hAnsi="Times New Roman" w:cs="Times New Roman"/>
          <w:b/>
          <w:bCs/>
          <w:lang w:eastAsia="ru-RU"/>
        </w:rPr>
        <w:t xml:space="preserve"> </w:t>
      </w:r>
      <w:r w:rsidR="004334CA">
        <w:rPr>
          <w:rFonts w:ascii="Times New Roman" w:eastAsia="Times New Roman" w:hAnsi="Times New Roman" w:cs="Times New Roman"/>
          <w:b/>
          <w:bCs/>
          <w:lang w:eastAsia="ru-RU"/>
        </w:rPr>
        <w:t>НОВОЕ МАНСУРКИНО</w:t>
      </w:r>
    </w:p>
    <w:p w:rsidR="00FA6AA1" w:rsidRPr="0045078A" w:rsidRDefault="0045078A" w:rsidP="00FA6AA1">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sidR="005279DD">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муниципального района</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w:t>
      </w:r>
      <w:r w:rsidR="005279DD">
        <w:rPr>
          <w:rFonts w:ascii="Times New Roman" w:eastAsia="Times New Roman" w:hAnsi="Times New Roman" w:cs="Times New Roman"/>
          <w:b/>
          <w:bCs/>
          <w:sz w:val="20"/>
          <w:szCs w:val="20"/>
          <w:lang w:eastAsia="ru-RU"/>
        </w:rPr>
        <w:t xml:space="preserve">      </w:t>
      </w:r>
      <w:r w:rsidRPr="00FA6AA1">
        <w:rPr>
          <w:rFonts w:ascii="Times New Roman" w:eastAsia="Times New Roman" w:hAnsi="Times New Roman" w:cs="Times New Roman"/>
          <w:b/>
          <w:bCs/>
          <w:sz w:val="20"/>
          <w:szCs w:val="20"/>
          <w:lang w:eastAsia="ru-RU"/>
        </w:rPr>
        <w:t xml:space="preserve"> ПОХВИСТНЕВСКИЙ</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w:t>
      </w:r>
      <w:r w:rsidR="005279DD">
        <w:rPr>
          <w:rFonts w:ascii="Times New Roman" w:eastAsia="Times New Roman" w:hAnsi="Times New Roman" w:cs="Times New Roman"/>
          <w:b/>
          <w:bCs/>
          <w:sz w:val="20"/>
          <w:szCs w:val="20"/>
          <w:lang w:eastAsia="ru-RU"/>
        </w:rPr>
        <w:t xml:space="preserve">    </w:t>
      </w:r>
      <w:r w:rsidRPr="00FA6AA1">
        <w:rPr>
          <w:rFonts w:ascii="Times New Roman" w:eastAsia="Times New Roman" w:hAnsi="Times New Roman" w:cs="Times New Roman"/>
          <w:b/>
          <w:bCs/>
          <w:sz w:val="20"/>
          <w:szCs w:val="20"/>
          <w:lang w:eastAsia="ru-RU"/>
        </w:rPr>
        <w:t>САМАРСКОЙ ОБЛАСТИ</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w:t>
      </w:r>
      <w:r w:rsidR="005279DD">
        <w:rPr>
          <w:rFonts w:ascii="Times New Roman" w:eastAsia="Times New Roman" w:hAnsi="Times New Roman" w:cs="Times New Roman"/>
          <w:b/>
          <w:bCs/>
          <w:sz w:val="20"/>
          <w:szCs w:val="20"/>
          <w:lang w:eastAsia="ru-RU"/>
        </w:rPr>
        <w:t xml:space="preserve">       </w:t>
      </w:r>
      <w:r w:rsidRPr="00FA6AA1">
        <w:rPr>
          <w:rFonts w:ascii="Times New Roman" w:eastAsia="Times New Roman" w:hAnsi="Times New Roman" w:cs="Times New Roman"/>
          <w:b/>
          <w:bCs/>
          <w:sz w:val="20"/>
          <w:szCs w:val="20"/>
          <w:lang w:eastAsia="ru-RU"/>
        </w:rPr>
        <w:t>второго созыва</w:t>
      </w:r>
    </w:p>
    <w:p w:rsidR="00FA6AA1" w:rsidRPr="00FA6AA1" w:rsidRDefault="00FA6AA1" w:rsidP="00FA6AA1">
      <w:pPr>
        <w:keepNext/>
        <w:spacing w:after="0" w:line="240" w:lineRule="auto"/>
        <w:outlineLvl w:val="2"/>
        <w:rPr>
          <w:rFonts w:ascii="Times New Roman" w:eastAsia="Times New Roman" w:hAnsi="Times New Roman" w:cs="Times New Roman"/>
          <w:b/>
          <w:bCs/>
          <w:sz w:val="24"/>
          <w:szCs w:val="24"/>
          <w:lang w:eastAsia="ru-RU"/>
        </w:rPr>
      </w:pPr>
      <w:r w:rsidRPr="00FA6AA1">
        <w:rPr>
          <w:rFonts w:ascii="Times New Roman" w:eastAsia="Times New Roman" w:hAnsi="Times New Roman" w:cs="Times New Roman"/>
          <w:b/>
          <w:bCs/>
          <w:sz w:val="24"/>
          <w:szCs w:val="24"/>
          <w:lang w:eastAsia="ru-RU"/>
        </w:rPr>
        <w:t xml:space="preserve">            </w:t>
      </w:r>
      <w:r w:rsidR="005279DD">
        <w:rPr>
          <w:rFonts w:ascii="Times New Roman" w:eastAsia="Times New Roman" w:hAnsi="Times New Roman" w:cs="Times New Roman"/>
          <w:b/>
          <w:bCs/>
          <w:sz w:val="24"/>
          <w:szCs w:val="24"/>
          <w:lang w:eastAsia="ru-RU"/>
        </w:rPr>
        <w:t xml:space="preserve">     </w:t>
      </w:r>
      <w:proofErr w:type="gramStart"/>
      <w:r w:rsidRPr="00FA6AA1">
        <w:rPr>
          <w:rFonts w:ascii="Times New Roman" w:eastAsia="Times New Roman" w:hAnsi="Times New Roman" w:cs="Times New Roman"/>
          <w:b/>
          <w:bCs/>
          <w:sz w:val="24"/>
          <w:szCs w:val="24"/>
          <w:lang w:eastAsia="ru-RU"/>
        </w:rPr>
        <w:t>Р</w:t>
      </w:r>
      <w:proofErr w:type="gramEnd"/>
      <w:r w:rsidRPr="00FA6AA1">
        <w:rPr>
          <w:rFonts w:ascii="Times New Roman" w:eastAsia="Times New Roman" w:hAnsi="Times New Roman" w:cs="Times New Roman"/>
          <w:b/>
          <w:bCs/>
          <w:sz w:val="24"/>
          <w:szCs w:val="24"/>
          <w:lang w:eastAsia="ru-RU"/>
        </w:rPr>
        <w:t xml:space="preserve"> Е Ш Е Н И Е</w:t>
      </w:r>
    </w:p>
    <w:p w:rsidR="00FA6AA1" w:rsidRPr="00FA6AA1" w:rsidRDefault="00FA6AA1" w:rsidP="00FA6AA1">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b/>
          <w:bCs/>
          <w:sz w:val="20"/>
          <w:szCs w:val="20"/>
          <w:lang w:eastAsia="ru-RU"/>
        </w:rPr>
        <w:t xml:space="preserve">                 </w:t>
      </w:r>
      <w:r w:rsidR="00E25AA4">
        <w:rPr>
          <w:rFonts w:ascii="Times New Roman" w:eastAsia="Times New Roman" w:hAnsi="Times New Roman" w:cs="Times New Roman"/>
          <w:b/>
          <w:bCs/>
          <w:sz w:val="20"/>
          <w:szCs w:val="20"/>
          <w:lang w:eastAsia="ru-RU"/>
        </w:rPr>
        <w:t>_____________</w:t>
      </w:r>
      <w:r w:rsidRPr="00FA6AA1">
        <w:rPr>
          <w:rFonts w:ascii="Times New Roman" w:eastAsia="Times New Roman" w:hAnsi="Times New Roman" w:cs="Times New Roman"/>
          <w:b/>
          <w:bCs/>
          <w:sz w:val="20"/>
          <w:szCs w:val="20"/>
          <w:lang w:eastAsia="ru-RU"/>
        </w:rPr>
        <w:t xml:space="preserve">. № </w:t>
      </w:r>
      <w:r w:rsidR="00E25AA4">
        <w:rPr>
          <w:rFonts w:ascii="Times New Roman" w:eastAsia="Times New Roman" w:hAnsi="Times New Roman" w:cs="Times New Roman"/>
          <w:b/>
          <w:bCs/>
          <w:sz w:val="20"/>
          <w:szCs w:val="20"/>
          <w:lang w:eastAsia="ru-RU"/>
        </w:rPr>
        <w:t>____</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sz w:val="20"/>
          <w:szCs w:val="20"/>
          <w:lang w:eastAsia="ru-RU"/>
        </w:rPr>
        <w:t xml:space="preserve">                </w:t>
      </w:r>
      <w:r w:rsidR="00E25AA4">
        <w:rPr>
          <w:rFonts w:ascii="Times New Roman" w:eastAsia="Times New Roman" w:hAnsi="Times New Roman" w:cs="Times New Roman"/>
          <w:sz w:val="20"/>
          <w:szCs w:val="20"/>
          <w:lang w:eastAsia="ru-RU"/>
        </w:rPr>
        <w:t xml:space="preserve">    </w:t>
      </w:r>
      <w:r w:rsidR="00FE319E">
        <w:rPr>
          <w:rFonts w:ascii="Times New Roman" w:eastAsia="Times New Roman" w:hAnsi="Times New Roman" w:cs="Times New Roman"/>
          <w:sz w:val="20"/>
          <w:szCs w:val="20"/>
          <w:lang w:eastAsia="ru-RU"/>
        </w:rPr>
        <w:t xml:space="preserve">  с. </w:t>
      </w:r>
      <w:r w:rsidR="004334CA">
        <w:rPr>
          <w:rFonts w:ascii="Times New Roman" w:eastAsia="Times New Roman" w:hAnsi="Times New Roman" w:cs="Times New Roman"/>
          <w:sz w:val="20"/>
          <w:szCs w:val="20"/>
          <w:lang w:eastAsia="ru-RU"/>
        </w:rPr>
        <w:t xml:space="preserve">Новое </w:t>
      </w:r>
      <w:proofErr w:type="spellStart"/>
      <w:r w:rsidR="004334CA">
        <w:rPr>
          <w:rFonts w:ascii="Times New Roman" w:eastAsia="Times New Roman" w:hAnsi="Times New Roman" w:cs="Times New Roman"/>
          <w:sz w:val="20"/>
          <w:szCs w:val="20"/>
          <w:lang w:eastAsia="ru-RU"/>
        </w:rPr>
        <w:t>Мансуркино</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4334CA">
        <w:rPr>
          <w:rFonts w:ascii="Times New Roman" w:hAnsi="Times New Roman" w:cs="Times New Roman"/>
          <w:sz w:val="28"/>
          <w:szCs w:val="28"/>
        </w:rPr>
        <w:t xml:space="preserve"> внутригородских районов», собрание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1F228A">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r>
        <w:rPr>
          <w:rFonts w:ascii="Times New Roman" w:hAnsi="Times New Roman" w:cs="Times New Roman"/>
          <w:sz w:val="28"/>
          <w:szCs w:val="28"/>
        </w:rPr>
        <w:t>:</w:t>
      </w:r>
    </w:p>
    <w:p w:rsidR="009D2131" w:rsidRPr="009D2131" w:rsidRDefault="009D2131" w:rsidP="0021068F">
      <w:pPr>
        <w:spacing w:after="0"/>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1F228A">
        <w:rPr>
          <w:rFonts w:ascii="Times New Roman" w:hAnsi="Times New Roman" w:cs="Times New Roman"/>
          <w:sz w:val="28"/>
          <w:szCs w:val="28"/>
        </w:rPr>
        <w:t>05 мая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F228A">
        <w:rPr>
          <w:rFonts w:ascii="Times New Roman" w:hAnsi="Times New Roman" w:cs="Times New Roman"/>
          <w:sz w:val="28"/>
          <w:szCs w:val="28"/>
        </w:rPr>
        <w:t>2014</w:t>
      </w:r>
      <w:r w:rsidR="001E32BD">
        <w:rPr>
          <w:rFonts w:ascii="Times New Roman" w:hAnsi="Times New Roman" w:cs="Times New Roman"/>
          <w:sz w:val="28"/>
          <w:szCs w:val="28"/>
        </w:rPr>
        <w:t xml:space="preserve"> г. </w:t>
      </w:r>
      <w:r w:rsidR="0021068F">
        <w:rPr>
          <w:rFonts w:ascii="Times New Roman" w:hAnsi="Times New Roman" w:cs="Times New Roman"/>
          <w:sz w:val="28"/>
          <w:szCs w:val="28"/>
        </w:rPr>
        <w:t xml:space="preserve">  </w:t>
      </w:r>
      <w:r w:rsidR="001F228A">
        <w:rPr>
          <w:rFonts w:ascii="Times New Roman" w:hAnsi="Times New Roman" w:cs="Times New Roman"/>
          <w:sz w:val="28"/>
          <w:szCs w:val="28"/>
        </w:rPr>
        <w:t>№ 91А</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w:t>
      </w:r>
      <w:r w:rsidR="001F228A">
        <w:rPr>
          <w:rFonts w:ascii="Times New Roman" w:eastAsia="Arial Unicode MS" w:hAnsi="Times New Roman" w:cs="Times New Roman"/>
          <w:sz w:val="28"/>
          <w:szCs w:val="28"/>
          <w:lang w:eastAsia="ar-SA"/>
        </w:rPr>
        <w:t>б утверждении П</w:t>
      </w:r>
      <w:r w:rsidRPr="009D2131">
        <w:rPr>
          <w:rFonts w:ascii="Times New Roman" w:eastAsia="Arial Unicode MS" w:hAnsi="Times New Roman" w:cs="Times New Roman"/>
          <w:sz w:val="28"/>
          <w:szCs w:val="28"/>
          <w:lang w:eastAsia="ar-SA"/>
        </w:rPr>
        <w:t>равил</w:t>
      </w:r>
      <w:r w:rsidR="001F228A">
        <w:rPr>
          <w:rFonts w:ascii="Times New Roman" w:eastAsia="Arial Unicode MS" w:hAnsi="Times New Roman" w:cs="Times New Roman"/>
          <w:sz w:val="28"/>
          <w:szCs w:val="28"/>
          <w:lang w:eastAsia="ar-SA"/>
        </w:rPr>
        <w:t>а</w:t>
      </w:r>
      <w:r w:rsidR="0021068F">
        <w:rPr>
          <w:rFonts w:ascii="Times New Roman" w:eastAsia="Arial Unicode MS" w:hAnsi="Times New Roman" w:cs="Times New Roman"/>
          <w:sz w:val="28"/>
          <w:szCs w:val="28"/>
          <w:lang w:eastAsia="ar-SA"/>
        </w:rPr>
        <w:t xml:space="preserve">   благоустройства территории сельского поселения </w:t>
      </w:r>
      <w:r w:rsidR="004334CA">
        <w:rPr>
          <w:rFonts w:ascii="Times New Roman" w:eastAsia="Arial Unicode MS" w:hAnsi="Times New Roman" w:cs="Times New Roman"/>
          <w:sz w:val="28"/>
          <w:szCs w:val="28"/>
          <w:lang w:eastAsia="ar-SA"/>
        </w:rPr>
        <w:t xml:space="preserve">Новое </w:t>
      </w:r>
      <w:proofErr w:type="spellStart"/>
      <w:r w:rsidR="004334CA">
        <w:rPr>
          <w:rFonts w:ascii="Times New Roman" w:eastAsia="Arial Unicode MS" w:hAnsi="Times New Roman" w:cs="Times New Roman"/>
          <w:sz w:val="28"/>
          <w:szCs w:val="28"/>
          <w:lang w:eastAsia="ar-SA"/>
        </w:rPr>
        <w:t>Мансуркино</w:t>
      </w:r>
      <w:proofErr w:type="spellEnd"/>
      <w:r w:rsidR="0021068F">
        <w:rPr>
          <w:rFonts w:ascii="Times New Roman" w:eastAsia="Arial Unicode MS" w:hAnsi="Times New Roman" w:cs="Times New Roman"/>
          <w:sz w:val="28"/>
          <w:szCs w:val="28"/>
          <w:lang w:eastAsia="ar-SA"/>
        </w:rPr>
        <w:t xml:space="preserve"> </w:t>
      </w:r>
      <w:r w:rsidR="001F228A">
        <w:rPr>
          <w:rFonts w:ascii="Times New Roman" w:eastAsia="Arial Unicode MS" w:hAnsi="Times New Roman" w:cs="Times New Roman"/>
          <w:sz w:val="28"/>
          <w:szCs w:val="28"/>
          <w:lang w:eastAsia="ar-SA"/>
        </w:rPr>
        <w:t xml:space="preserve">муниципального района </w:t>
      </w:r>
      <w:proofErr w:type="spellStart"/>
      <w:r w:rsidR="001F228A">
        <w:rPr>
          <w:rFonts w:ascii="Times New Roman" w:eastAsia="Arial Unicode MS" w:hAnsi="Times New Roman" w:cs="Times New Roman"/>
          <w:sz w:val="28"/>
          <w:szCs w:val="28"/>
          <w:lang w:eastAsia="ar-SA"/>
        </w:rPr>
        <w:t>Похвистневский</w:t>
      </w:r>
      <w:proofErr w:type="spellEnd"/>
      <w:r w:rsidR="0021068F">
        <w:rPr>
          <w:rFonts w:ascii="Times New Roman" w:eastAsia="Arial Unicode MS" w:hAnsi="Times New Roman" w:cs="Times New Roman"/>
          <w:sz w:val="28"/>
          <w:szCs w:val="28"/>
          <w:lang w:eastAsia="ar-SA"/>
        </w:rPr>
        <w:t xml:space="preserve"> 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1F228A">
        <w:rPr>
          <w:rFonts w:ascii="Times New Roman" w:hAnsi="Times New Roman" w:cs="Times New Roman"/>
          <w:bCs/>
          <w:sz w:val="28"/>
          <w:szCs w:val="28"/>
        </w:rPr>
        <w:t>28 октября 2015 г. № 12</w:t>
      </w:r>
      <w:r>
        <w:rPr>
          <w:rFonts w:ascii="Times New Roman" w:hAnsi="Times New Roman" w:cs="Times New Roman"/>
          <w:bCs/>
          <w:sz w:val="28"/>
          <w:szCs w:val="28"/>
        </w:rPr>
        <w:t xml:space="preserve"> «</w:t>
      </w:r>
      <w:r>
        <w:rPr>
          <w:rFonts w:ascii="Times New Roman" w:hAnsi="Times New Roman" w:cs="Times New Roman"/>
          <w:sz w:val="28"/>
          <w:szCs w:val="28"/>
        </w:rPr>
        <w:t>О внесении изме</w:t>
      </w:r>
      <w:r w:rsidR="001F228A">
        <w:rPr>
          <w:rFonts w:ascii="Times New Roman" w:hAnsi="Times New Roman" w:cs="Times New Roman"/>
          <w:sz w:val="28"/>
          <w:szCs w:val="28"/>
        </w:rPr>
        <w:t>нений в решение собрания представителей сельского</w:t>
      </w:r>
      <w:r>
        <w:rPr>
          <w:rFonts w:ascii="Times New Roman" w:hAnsi="Times New Roman" w:cs="Times New Roman"/>
          <w:sz w:val="28"/>
          <w:szCs w:val="28"/>
        </w:rPr>
        <w:t xml:space="preserve">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r w:rsidR="001F228A">
        <w:rPr>
          <w:rFonts w:ascii="Times New Roman" w:hAnsi="Times New Roman" w:cs="Times New Roman"/>
          <w:sz w:val="28"/>
          <w:szCs w:val="28"/>
        </w:rPr>
        <w:t xml:space="preserve"> от 05 июня 2014 года № 91А</w:t>
      </w:r>
      <w:r>
        <w:rPr>
          <w:rFonts w:ascii="Times New Roman" w:hAnsi="Times New Roman" w:cs="Times New Roman"/>
          <w:sz w:val="28"/>
          <w:szCs w:val="28"/>
        </w:rPr>
        <w:t xml:space="preserve"> «</w:t>
      </w:r>
      <w:r w:rsidR="001F228A" w:rsidRPr="009D2131">
        <w:rPr>
          <w:rFonts w:ascii="Times New Roman" w:eastAsia="Arial Unicode MS" w:hAnsi="Times New Roman" w:cs="Times New Roman"/>
          <w:sz w:val="28"/>
          <w:szCs w:val="28"/>
          <w:lang w:eastAsia="ar-SA"/>
        </w:rPr>
        <w:t>О</w:t>
      </w:r>
      <w:r w:rsidR="001F228A">
        <w:rPr>
          <w:rFonts w:ascii="Times New Roman" w:eastAsia="Arial Unicode MS" w:hAnsi="Times New Roman" w:cs="Times New Roman"/>
          <w:sz w:val="28"/>
          <w:szCs w:val="28"/>
          <w:lang w:eastAsia="ar-SA"/>
        </w:rPr>
        <w:t>б утверждении П</w:t>
      </w:r>
      <w:r w:rsidR="001F228A" w:rsidRPr="009D2131">
        <w:rPr>
          <w:rFonts w:ascii="Times New Roman" w:eastAsia="Arial Unicode MS" w:hAnsi="Times New Roman" w:cs="Times New Roman"/>
          <w:sz w:val="28"/>
          <w:szCs w:val="28"/>
          <w:lang w:eastAsia="ar-SA"/>
        </w:rPr>
        <w:t>равил</w:t>
      </w:r>
      <w:r w:rsidR="001F228A">
        <w:rPr>
          <w:rFonts w:ascii="Times New Roman" w:eastAsia="Arial Unicode MS" w:hAnsi="Times New Roman" w:cs="Times New Roman"/>
          <w:sz w:val="28"/>
          <w:szCs w:val="28"/>
          <w:lang w:eastAsia="ar-SA"/>
        </w:rPr>
        <w:t xml:space="preserve">а   благоустройства территории сельского поселения Новое </w:t>
      </w:r>
      <w:proofErr w:type="spellStart"/>
      <w:r w:rsidR="001F228A">
        <w:rPr>
          <w:rFonts w:ascii="Times New Roman" w:eastAsia="Arial Unicode MS" w:hAnsi="Times New Roman" w:cs="Times New Roman"/>
          <w:sz w:val="28"/>
          <w:szCs w:val="28"/>
          <w:lang w:eastAsia="ar-SA"/>
        </w:rPr>
        <w:t>Мансуркино</w:t>
      </w:r>
      <w:proofErr w:type="spellEnd"/>
      <w:r w:rsidR="001F228A">
        <w:rPr>
          <w:rFonts w:ascii="Times New Roman" w:eastAsia="Arial Unicode MS" w:hAnsi="Times New Roman" w:cs="Times New Roman"/>
          <w:sz w:val="28"/>
          <w:szCs w:val="28"/>
          <w:lang w:eastAsia="ar-SA"/>
        </w:rPr>
        <w:t xml:space="preserve"> муниципального района </w:t>
      </w:r>
      <w:proofErr w:type="spellStart"/>
      <w:r w:rsidR="001F228A">
        <w:rPr>
          <w:rFonts w:ascii="Times New Roman" w:eastAsia="Arial Unicode MS" w:hAnsi="Times New Roman" w:cs="Times New Roman"/>
          <w:sz w:val="28"/>
          <w:szCs w:val="28"/>
          <w:lang w:eastAsia="ar-SA"/>
        </w:rPr>
        <w:t>Похвистневский</w:t>
      </w:r>
      <w:proofErr w:type="spellEnd"/>
      <w:r w:rsidR="001F228A">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0251C3" w:rsidRDefault="000251C3" w:rsidP="007346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w:t>
      </w:r>
      <w:r w:rsidR="0073464A">
        <w:rPr>
          <w:rFonts w:ascii="Times New Roman" w:hAnsi="Times New Roman" w:cs="Times New Roman"/>
          <w:sz w:val="28"/>
          <w:szCs w:val="28"/>
        </w:rPr>
        <w:t xml:space="preserve">ать в газете «Вестник сельского поселения Новое </w:t>
      </w:r>
      <w:proofErr w:type="spellStart"/>
      <w:r w:rsidR="0073464A">
        <w:rPr>
          <w:rFonts w:ascii="Times New Roman" w:hAnsi="Times New Roman" w:cs="Times New Roman"/>
          <w:sz w:val="28"/>
          <w:szCs w:val="28"/>
        </w:rPr>
        <w:t>Мансуркино</w:t>
      </w:r>
      <w:proofErr w:type="spellEnd"/>
      <w:r w:rsidR="0073464A">
        <w:rPr>
          <w:rFonts w:ascii="Times New Roman" w:hAnsi="Times New Roman" w:cs="Times New Roman"/>
          <w:sz w:val="28"/>
          <w:szCs w:val="28"/>
        </w:rPr>
        <w:t>»</w:t>
      </w:r>
      <w:r>
        <w:rPr>
          <w:rFonts w:ascii="Times New Roman" w:hAnsi="Times New Roman" w:cs="Times New Roman"/>
          <w:sz w:val="28"/>
          <w:szCs w:val="28"/>
        </w:rPr>
        <w:t xml:space="preserve"> и разместить на официальном сайте администрации сельского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73464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0251C3" w:rsidRPr="001F228A" w:rsidRDefault="000251C3" w:rsidP="000251C3">
      <w:pPr>
        <w:pStyle w:val="a7"/>
        <w:jc w:val="both"/>
        <w:rPr>
          <w:rFonts w:ascii="Times New Roman" w:hAnsi="Times New Roman" w:cs="Times New Roman"/>
        </w:rPr>
      </w:pPr>
      <w:r w:rsidRPr="001F228A">
        <w:rPr>
          <w:rFonts w:ascii="Times New Roman" w:hAnsi="Times New Roman" w:cs="Times New Roman"/>
        </w:rPr>
        <w:t xml:space="preserve">Глава поселения                                            </w:t>
      </w:r>
      <w:r w:rsidR="0050690A" w:rsidRPr="001F228A">
        <w:rPr>
          <w:rFonts w:ascii="Times New Roman" w:hAnsi="Times New Roman" w:cs="Times New Roman"/>
        </w:rPr>
        <w:t xml:space="preserve">                     </w:t>
      </w:r>
      <w:r w:rsidR="005279DD" w:rsidRPr="001F228A">
        <w:rPr>
          <w:rFonts w:ascii="Times New Roman" w:hAnsi="Times New Roman" w:cs="Times New Roman"/>
        </w:rPr>
        <w:t xml:space="preserve">И.М. </w:t>
      </w:r>
      <w:proofErr w:type="spellStart"/>
      <w:r w:rsidR="005279DD" w:rsidRPr="001F228A">
        <w:rPr>
          <w:rFonts w:ascii="Times New Roman" w:hAnsi="Times New Roman" w:cs="Times New Roman"/>
        </w:rPr>
        <w:t>Газеев</w:t>
      </w:r>
      <w:proofErr w:type="spellEnd"/>
    </w:p>
    <w:p w:rsidR="000251C3" w:rsidRPr="0073464A" w:rsidRDefault="0073464A" w:rsidP="000251C3">
      <w:pPr>
        <w:autoSpaceDE w:val="0"/>
        <w:spacing w:line="227" w:lineRule="exact"/>
        <w:jc w:val="both"/>
        <w:rPr>
          <w:rFonts w:ascii="Times New Roman" w:hAnsi="Times New Roman" w:cs="Times New Roman"/>
          <w:sz w:val="28"/>
          <w:szCs w:val="28"/>
        </w:rPr>
      </w:pPr>
      <w:r w:rsidRPr="0073464A">
        <w:rPr>
          <w:rFonts w:ascii="Times New Roman" w:hAnsi="Times New Roman" w:cs="Times New Roman"/>
          <w:sz w:val="28"/>
          <w:szCs w:val="28"/>
        </w:rPr>
        <w:t>Председатель собрания представителей</w:t>
      </w:r>
      <w:r>
        <w:rPr>
          <w:rFonts w:ascii="Times New Roman" w:hAnsi="Times New Roman" w:cs="Times New Roman"/>
          <w:sz w:val="28"/>
          <w:szCs w:val="28"/>
        </w:rPr>
        <w:t xml:space="preserve">                            ннннннннн</w:t>
      </w:r>
    </w:p>
    <w:p w:rsidR="000251C3"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lastRenderedPageBreak/>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4334CA">
        <w:rPr>
          <w:rFonts w:ascii="Times New Roman" w:hAnsi="Times New Roman" w:cs="Times New Roman"/>
          <w:sz w:val="28"/>
          <w:szCs w:val="28"/>
        </w:rPr>
        <w:t xml:space="preserve">Новое </w:t>
      </w:r>
      <w:proofErr w:type="spellStart"/>
      <w:r w:rsidR="004334CA">
        <w:rPr>
          <w:rFonts w:ascii="Times New Roman" w:hAnsi="Times New Roman" w:cs="Times New Roman"/>
          <w:sz w:val="28"/>
          <w:szCs w:val="28"/>
        </w:rPr>
        <w:t>Мансуркино</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180794"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180794">
        <w:rPr>
          <w:rFonts w:ascii="Times New Roman" w:eastAsia="Arial" w:hAnsi="Times New Roman" w:cs="Times New Roman"/>
          <w:b/>
          <w:caps/>
          <w:kern w:val="2"/>
          <w:sz w:val="28"/>
          <w:szCs w:val="28"/>
          <w:u w:color="000000"/>
          <w:lang w:eastAsia="ru-RU" w:bidi="hi-IN"/>
        </w:rPr>
        <w:t>Правила</w:t>
      </w:r>
    </w:p>
    <w:p w:rsidR="000251C3" w:rsidRPr="00180794" w:rsidRDefault="000251C3" w:rsidP="000251C3">
      <w:pPr>
        <w:pStyle w:val="ConsPlusNormal"/>
        <w:widowControl/>
        <w:ind w:firstLine="540"/>
        <w:jc w:val="center"/>
        <w:rPr>
          <w:rFonts w:eastAsia="Arial" w:cs="Courier New"/>
          <w:b/>
          <w:kern w:val="2"/>
          <w:szCs w:val="24"/>
          <w:u w:color="000000"/>
          <w:lang w:bidi="hi-IN"/>
        </w:rPr>
      </w:pPr>
      <w:r w:rsidRPr="00180794">
        <w:rPr>
          <w:rFonts w:ascii="Times New Roman" w:eastAsia="Arial" w:hAnsi="Times New Roman" w:cs="Times New Roman"/>
          <w:b/>
          <w:kern w:val="2"/>
          <w:sz w:val="28"/>
          <w:szCs w:val="28"/>
          <w:u w:color="000000"/>
          <w:lang w:bidi="hi-IN"/>
        </w:rPr>
        <w:t>б</w:t>
      </w:r>
      <w:r w:rsidRPr="00180794">
        <w:rPr>
          <w:rFonts w:ascii="Times New Roman" w:eastAsia="Arial" w:hAnsi="Times New Roman" w:cs="Times New Roman"/>
          <w:b/>
          <w:kern w:val="2"/>
          <w:sz w:val="28"/>
          <w:szCs w:val="28"/>
          <w:u w:color="000000"/>
          <w:lang w:eastAsia="ru-RU" w:bidi="hi-IN"/>
        </w:rPr>
        <w:t xml:space="preserve">лагоустройства территории </w:t>
      </w:r>
      <w:r w:rsidRPr="00180794">
        <w:rPr>
          <w:rFonts w:ascii="Times New Roman" w:eastAsia="Arial" w:hAnsi="Times New Roman" w:cs="Times New Roman"/>
          <w:b/>
          <w:kern w:val="2"/>
          <w:sz w:val="28"/>
          <w:szCs w:val="28"/>
          <w:u w:color="000000"/>
          <w:lang w:bidi="hi-IN"/>
        </w:rPr>
        <w:t xml:space="preserve">сельского поселения </w:t>
      </w:r>
      <w:r w:rsidR="004334CA" w:rsidRPr="00180794">
        <w:rPr>
          <w:rFonts w:ascii="Times New Roman" w:eastAsia="Arial" w:hAnsi="Times New Roman" w:cs="Times New Roman"/>
          <w:b/>
          <w:kern w:val="2"/>
          <w:sz w:val="28"/>
          <w:szCs w:val="28"/>
          <w:u w:color="000000"/>
          <w:lang w:bidi="hi-IN"/>
        </w:rPr>
        <w:t xml:space="preserve">Новое </w:t>
      </w:r>
      <w:proofErr w:type="spellStart"/>
      <w:r w:rsidR="004334CA" w:rsidRPr="00180794">
        <w:rPr>
          <w:rFonts w:ascii="Times New Roman" w:eastAsia="Arial" w:hAnsi="Times New Roman" w:cs="Times New Roman"/>
          <w:b/>
          <w:kern w:val="2"/>
          <w:sz w:val="28"/>
          <w:szCs w:val="28"/>
          <w:u w:color="000000"/>
          <w:lang w:bidi="hi-IN"/>
        </w:rPr>
        <w:t>Мансуркино</w:t>
      </w:r>
      <w:proofErr w:type="spellEnd"/>
    </w:p>
    <w:p w:rsidR="000251C3" w:rsidRPr="00180794" w:rsidRDefault="000251C3" w:rsidP="000251C3">
      <w:pPr>
        <w:pStyle w:val="ConsPlusNormal"/>
        <w:widowControl/>
        <w:jc w:val="both"/>
        <w:rPr>
          <w:rFonts w:eastAsia="Arial" w:cs="Courier New"/>
          <w:b/>
          <w:kern w:val="2"/>
          <w:szCs w:val="24"/>
          <w:u w:color="000000"/>
          <w:lang w:bidi="hi-IN"/>
        </w:rPr>
      </w:pPr>
    </w:p>
    <w:p w:rsidR="000251C3" w:rsidRPr="00180794" w:rsidRDefault="000251C3" w:rsidP="000251C3">
      <w:pPr>
        <w:pStyle w:val="ConsPlusNormal"/>
        <w:widowControl/>
        <w:jc w:val="both"/>
        <w:rPr>
          <w:rFonts w:eastAsia="Arial" w:cs="Courier New"/>
          <w:b/>
          <w:kern w:val="2"/>
          <w:szCs w:val="24"/>
          <w:u w:color="000000"/>
          <w:lang w:bidi="hi-IN"/>
        </w:rPr>
      </w:pPr>
    </w:p>
    <w:p w:rsidR="000251C3" w:rsidRPr="00180794"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180794">
        <w:rPr>
          <w:rFonts w:ascii="Times New Roman" w:eastAsia="Arial" w:hAnsi="Times New Roman" w:cs="Times New Roman"/>
          <w:b/>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r w:rsidR="004334CA">
        <w:rPr>
          <w:rFonts w:ascii="Times New Roman" w:eastAsia="Arial" w:hAnsi="Times New Roman" w:cs="Times New Roman"/>
          <w:kern w:val="2"/>
          <w:sz w:val="28"/>
          <w:szCs w:val="28"/>
          <w:u w:color="000000"/>
          <w:lang w:bidi="hi-IN"/>
        </w:rPr>
        <w:t xml:space="preserve">Новое </w:t>
      </w:r>
      <w:proofErr w:type="spellStart"/>
      <w:r w:rsidR="004334CA">
        <w:rPr>
          <w:rFonts w:ascii="Times New Roman" w:eastAsia="Arial" w:hAnsi="Times New Roman" w:cs="Times New Roman"/>
          <w:kern w:val="2"/>
          <w:sz w:val="28"/>
          <w:szCs w:val="28"/>
          <w:u w:color="000000"/>
          <w:lang w:bidi="hi-IN"/>
        </w:rPr>
        <w:t>Мансуркино</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w:t>
      </w:r>
      <w:proofErr w:type="gramEnd"/>
      <w:r>
        <w:rPr>
          <w:rFonts w:ascii="Times New Roman" w:eastAsia="Arial" w:hAnsi="Times New Roman" w:cs="Times New Roman"/>
          <w:kern w:val="2"/>
          <w:sz w:val="28"/>
          <w:szCs w:val="28"/>
          <w:u w:color="000000"/>
          <w:lang w:bidi="hi-IN"/>
        </w:rPr>
        <w:t xml:space="preserve"> 13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w:t>
      </w:r>
      <w:r w:rsidRPr="00180794">
        <w:rPr>
          <w:rFonts w:ascii="Times New Roman" w:eastAsia="Arial" w:hAnsi="Times New Roman" w:cs="Times New Roman"/>
          <w:b/>
          <w:kern w:val="2"/>
          <w:sz w:val="28"/>
          <w:szCs w:val="28"/>
          <w:u w:color="000000"/>
          <w:lang w:bidi="hi-IN"/>
        </w:rPr>
        <w:t>. Общие принципы и подходы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180794"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3. </w:t>
      </w:r>
      <w:r w:rsidRPr="00180794">
        <w:rPr>
          <w:rFonts w:ascii="Times New Roman" w:eastAsia="Arial" w:hAnsi="Times New Roman" w:cs="Times New Roman"/>
          <w:b/>
          <w:kern w:val="2"/>
          <w:sz w:val="28"/>
          <w:szCs w:val="28"/>
          <w:u w:color="000000"/>
          <w:lang w:bidi="hi-IN"/>
        </w:rPr>
        <w:t>Формы и механизмы общественного участия в принятии</w:t>
      </w:r>
    </w:p>
    <w:p w:rsidR="000251C3" w:rsidRPr="00180794"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180794">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180794"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180794">
        <w:rPr>
          <w:rFonts w:ascii="Times New Roman" w:eastAsia="Arial" w:hAnsi="Times New Roman" w:cs="Times New Roman"/>
          <w:b/>
          <w:kern w:val="2"/>
          <w:sz w:val="28"/>
          <w:szCs w:val="28"/>
          <w:u w:color="000000"/>
          <w:lang w:bidi="hi-IN"/>
        </w:rPr>
        <w:t>и развития сельской среды</w:t>
      </w:r>
    </w:p>
    <w:p w:rsidR="000251C3" w:rsidRPr="00180794"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w:t>
      </w:r>
      <w:proofErr w:type="gramStart"/>
      <w:r>
        <w:rPr>
          <w:rFonts w:ascii="Times New Roman" w:eastAsia="Arial" w:hAnsi="Times New Roman" w:cs="Times New Roman"/>
          <w:kern w:val="2"/>
          <w:sz w:val="28"/>
          <w:szCs w:val="28"/>
          <w:u w:color="000000"/>
          <w:lang w:bidi="hi-IN"/>
        </w:rPr>
        <w:t xml:space="preserve">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r w:rsidR="004334CA">
        <w:rPr>
          <w:rFonts w:ascii="Times New Roman" w:eastAsia="Arial" w:hAnsi="Times New Roman" w:cs="Times New Roman"/>
          <w:kern w:val="2"/>
          <w:sz w:val="28"/>
          <w:szCs w:val="28"/>
          <w:u w:color="000000"/>
          <w:lang w:bidi="hi-IN"/>
        </w:rPr>
        <w:t xml:space="preserve">Новое </w:t>
      </w:r>
      <w:proofErr w:type="spellStart"/>
      <w:r w:rsidR="004334CA">
        <w:rPr>
          <w:rFonts w:ascii="Times New Roman" w:eastAsia="Arial" w:hAnsi="Times New Roman" w:cs="Times New Roman"/>
          <w:kern w:val="2"/>
          <w:sz w:val="28"/>
          <w:szCs w:val="28"/>
          <w:u w:color="000000"/>
          <w:lang w:bidi="hi-IN"/>
        </w:rPr>
        <w:t>Мансуркино</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CA348E" w:rsidRDefault="00CA348E" w:rsidP="00CA348E">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редоставления решения о согласовании архитектурно-градостроительного 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CA348E" w:rsidRDefault="00CA348E" w:rsidP="00CA348E">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CA348E" w:rsidRDefault="00CA348E" w:rsidP="00CA348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CA348E" w:rsidRDefault="00CA348E" w:rsidP="00CA348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CA348E" w:rsidRDefault="00CA348E" w:rsidP="00CA348E">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CA348E" w:rsidRDefault="00CA348E" w:rsidP="00CA348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CA348E" w:rsidRDefault="00CA348E" w:rsidP="00CA348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r w:rsidR="004334CA">
        <w:rPr>
          <w:rFonts w:ascii="Times New Roman" w:eastAsia="Arial" w:hAnsi="Times New Roman" w:cs="Courier New"/>
          <w:kern w:val="2"/>
          <w:sz w:val="28"/>
          <w:szCs w:val="28"/>
          <w:u w:color="000000"/>
          <w:lang w:bidi="hi-IN"/>
        </w:rPr>
        <w:t xml:space="preserve">Новое </w:t>
      </w:r>
      <w:proofErr w:type="spellStart"/>
      <w:r w:rsidR="004334CA">
        <w:rPr>
          <w:rFonts w:ascii="Times New Roman" w:eastAsia="Arial" w:hAnsi="Times New Roman" w:cs="Courier New"/>
          <w:kern w:val="2"/>
          <w:sz w:val="28"/>
          <w:szCs w:val="28"/>
          <w:u w:color="000000"/>
          <w:lang w:bidi="hi-IN"/>
        </w:rPr>
        <w:t>Мансуркино</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w:t>
      </w:r>
      <w:proofErr w:type="spellStart"/>
      <w:r w:rsidR="00F72606">
        <w:rPr>
          <w:rFonts w:ascii="Times New Roman" w:hAnsi="Times New Roman"/>
          <w:sz w:val="28"/>
          <w:szCs w:val="28"/>
        </w:rPr>
        <w:t>Похвистневский</w:t>
      </w:r>
      <w:proofErr w:type="spellEnd"/>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r w:rsidR="004334CA">
        <w:rPr>
          <w:rFonts w:ascii="Times New Roman" w:eastAsia="Arial" w:hAnsi="Times New Roman" w:cs="Times New Roman"/>
          <w:kern w:val="2"/>
          <w:sz w:val="28"/>
          <w:szCs w:val="28"/>
          <w:u w:color="000000"/>
          <w:lang w:bidi="hi-IN"/>
        </w:rPr>
        <w:t xml:space="preserve">Новое </w:t>
      </w:r>
      <w:proofErr w:type="spellStart"/>
      <w:r w:rsidR="004334CA">
        <w:rPr>
          <w:rFonts w:ascii="Times New Roman" w:eastAsia="Arial" w:hAnsi="Times New Roman" w:cs="Times New Roman"/>
          <w:kern w:val="2"/>
          <w:sz w:val="28"/>
          <w:szCs w:val="28"/>
          <w:u w:color="000000"/>
          <w:lang w:bidi="hi-IN"/>
        </w:rPr>
        <w:t>Мансуркино</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r w:rsidR="004334CA">
        <w:rPr>
          <w:rFonts w:ascii="Times New Roman" w:eastAsia="Arial" w:hAnsi="Times New Roman" w:cs="Times New Roman"/>
          <w:kern w:val="2"/>
          <w:sz w:val="28"/>
          <w:szCs w:val="28"/>
          <w:u w:color="000000"/>
          <w:lang w:bidi="hi-IN"/>
        </w:rPr>
        <w:t xml:space="preserve">Новое </w:t>
      </w:r>
      <w:proofErr w:type="spellStart"/>
      <w:r w:rsidR="004334CA">
        <w:rPr>
          <w:rFonts w:ascii="Times New Roman" w:eastAsia="Arial" w:hAnsi="Times New Roman" w:cs="Times New Roman"/>
          <w:kern w:val="2"/>
          <w:sz w:val="28"/>
          <w:szCs w:val="28"/>
          <w:u w:color="000000"/>
          <w:lang w:bidi="hi-IN"/>
        </w:rPr>
        <w:t>Мансуркино</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BD5F3D" w:rsidRDefault="00BD5F3D" w:rsidP="00BD5F3D">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BD5F3D" w:rsidRDefault="00BD5F3D" w:rsidP="00BD5F3D">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BD5F3D" w:rsidRDefault="00BD5F3D" w:rsidP="00BD5F3D">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BD5F3D" w:rsidRDefault="00BD5F3D" w:rsidP="00BD5F3D">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BD5F3D" w:rsidRDefault="00BD5F3D" w:rsidP="00BD5F3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BD5F3D" w:rsidRDefault="00BD5F3D" w:rsidP="00BD5F3D">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BD5F3D" w:rsidRDefault="00BD5F3D" w:rsidP="00BD5F3D">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BD5F3D" w:rsidRDefault="00BD5F3D" w:rsidP="00BD5F3D">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BD5F3D" w:rsidRDefault="00BD5F3D" w:rsidP="00BD5F3D">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lastRenderedPageBreak/>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225AC1" w:rsidRPr="00225AC1" w:rsidRDefault="00225AC1" w:rsidP="00225AC1">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225AC1">
        <w:rPr>
          <w:rFonts w:ascii="Times New Roman" w:hAnsi="Times New Roman" w:cs="Times New Roman"/>
          <w:b/>
          <w:sz w:val="28"/>
          <w:szCs w:val="28"/>
        </w:rPr>
        <w:t>Проведение работ при строительстве, ремонте, реконструкции коммуникаций</w:t>
      </w:r>
    </w:p>
    <w:p w:rsidR="00225AC1" w:rsidRDefault="00225AC1" w:rsidP="00225AC1">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225AC1" w:rsidRDefault="00225AC1" w:rsidP="00225AC1">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225AC1" w:rsidRDefault="00225AC1" w:rsidP="00225AC1">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225AC1" w:rsidRDefault="00225AC1" w:rsidP="00225AC1">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225AC1" w:rsidRDefault="00225AC1" w:rsidP="00225AC1">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225AC1" w:rsidRDefault="00225AC1" w:rsidP="00225AC1">
      <w:pPr>
        <w:ind w:firstLine="709"/>
        <w:jc w:val="both"/>
        <w:rPr>
          <w:rFonts w:ascii="Times New Roman" w:hAnsi="Times New Roman" w:cs="Times New Roman"/>
          <w:sz w:val="28"/>
          <w:szCs w:val="28"/>
        </w:rPr>
      </w:pPr>
      <w:r>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225AC1" w:rsidRDefault="00225AC1" w:rsidP="00225AC1">
      <w:pPr>
        <w:ind w:firstLine="709"/>
        <w:jc w:val="both"/>
        <w:rPr>
          <w:rFonts w:ascii="Times New Roman" w:hAnsi="Times New Roman" w:cs="Times New Roman"/>
          <w:sz w:val="28"/>
          <w:szCs w:val="28"/>
        </w:rPr>
      </w:pPr>
    </w:p>
    <w:p w:rsidR="00225AC1" w:rsidRDefault="00225AC1" w:rsidP="00225AC1">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225AC1" w:rsidRDefault="00225AC1" w:rsidP="00225AC1">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В целях исключения возможного разрытия вновь построенных (реконструированных) улиц, скверов рекомендовать организациям, которые в </w:t>
      </w:r>
      <w:r>
        <w:rPr>
          <w:rFonts w:ascii="Times New Roman" w:hAnsi="Times New Roman"/>
          <w:sz w:val="28"/>
          <w:szCs w:val="28"/>
        </w:rPr>
        <w:lastRenderedPageBreak/>
        <w:t>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225AC1" w:rsidRDefault="00225AC1" w:rsidP="00225AC1">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225AC1" w:rsidRDefault="00225AC1" w:rsidP="00225AC1">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225AC1" w:rsidRDefault="00225AC1" w:rsidP="00225AC1">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225AC1" w:rsidRDefault="00225AC1" w:rsidP="00225AC1">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25AC1" w:rsidRDefault="00225AC1" w:rsidP="00225AC1">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25AC1" w:rsidRDefault="00225AC1" w:rsidP="00225AC1">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225AC1" w:rsidRDefault="00225AC1" w:rsidP="00225AC1">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225AC1" w:rsidRDefault="00225AC1" w:rsidP="00225AC1">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225AC1" w:rsidRDefault="00225AC1" w:rsidP="00225AC1">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225AC1" w:rsidRDefault="00225AC1" w:rsidP="00225AC1">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225AC1" w:rsidRDefault="00225AC1" w:rsidP="00225AC1">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225AC1" w:rsidRDefault="00225AC1" w:rsidP="00225AC1">
      <w:pPr>
        <w:ind w:firstLine="720"/>
        <w:jc w:val="both"/>
        <w:rPr>
          <w:rFonts w:ascii="Times New Roman" w:hAnsi="Times New Roman" w:cs="Times New Roman"/>
          <w:sz w:val="24"/>
          <w:szCs w:val="24"/>
        </w:rPr>
      </w:pPr>
      <w:r>
        <w:rPr>
          <w:rFonts w:ascii="Times New Roman" w:hAnsi="Times New Roman" w:cs="Times New Roman"/>
          <w:sz w:val="28"/>
          <w:szCs w:val="28"/>
        </w:rPr>
        <w:lastRenderedPageBreak/>
        <w:t>Бордюр разбирается, складируется на месте производства работ для дальнейшей установки.</w:t>
      </w:r>
    </w:p>
    <w:p w:rsidR="00225AC1" w:rsidRDefault="00225AC1" w:rsidP="00225AC1">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225AC1" w:rsidRDefault="00225AC1" w:rsidP="00225AC1">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225AC1" w:rsidRDefault="00225AC1" w:rsidP="00225AC1">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225AC1" w:rsidRDefault="00225AC1" w:rsidP="00225AC1">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11.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r w:rsidR="004334CA">
        <w:rPr>
          <w:rFonts w:ascii="Times New Roman" w:hAnsi="Times New Roman"/>
          <w:b/>
          <w:sz w:val="28"/>
          <w:szCs w:val="28"/>
        </w:rPr>
        <w:t xml:space="preserve">Новое </w:t>
      </w:r>
      <w:proofErr w:type="spellStart"/>
      <w:r w:rsidR="004334CA">
        <w:rPr>
          <w:rFonts w:ascii="Times New Roman" w:hAnsi="Times New Roman"/>
          <w:b/>
          <w:sz w:val="28"/>
          <w:szCs w:val="28"/>
        </w:rPr>
        <w:t>Мансуркино</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w:t>
      </w:r>
      <w:r>
        <w:rPr>
          <w:rFonts w:ascii="Times New Roman" w:hAnsi="Times New Roman"/>
          <w:sz w:val="28"/>
          <w:szCs w:val="28"/>
        </w:rPr>
        <w:lastRenderedPageBreak/>
        <w:t>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6. В целях повышения эффективности расходов на благоустройство и качества реализованных проектов, а также обеспечения сохранности созданных </w:t>
      </w:r>
      <w:r>
        <w:rPr>
          <w:rFonts w:ascii="Times New Roman" w:hAnsi="Times New Roman"/>
          <w:sz w:val="28"/>
          <w:szCs w:val="28"/>
        </w:rPr>
        <w:lastRenderedPageBreak/>
        <w:t>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w:t>
      </w:r>
      <w:r>
        <w:rPr>
          <w:rFonts w:ascii="Times New Roman" w:hAnsi="Times New Roman"/>
          <w:sz w:val="28"/>
          <w:szCs w:val="28"/>
        </w:rPr>
        <w:lastRenderedPageBreak/>
        <w:t>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225AC1"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13</w:t>
      </w:r>
      <w:r w:rsidR="000251C3">
        <w:rPr>
          <w:rFonts w:ascii="Times New Roman" w:hAnsi="Times New Roman"/>
          <w:sz w:val="28"/>
          <w:szCs w:val="28"/>
        </w:rPr>
        <w:t>. 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Pr>
          <w:rFonts w:ascii="Times New Roman" w:hAnsi="Times New Roman"/>
          <w:sz w:val="28"/>
          <w:szCs w:val="28"/>
        </w:rPr>
        <w:lastRenderedPageBreak/>
        <w:t>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7"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180794" w:rsidRDefault="00180794" w:rsidP="000251C3">
      <w:pPr>
        <w:autoSpaceDE w:val="0"/>
        <w:autoSpaceDN w:val="0"/>
        <w:adjustRightInd w:val="0"/>
        <w:ind w:firstLine="540"/>
        <w:jc w:val="both"/>
        <w:outlineLvl w:val="1"/>
        <w:rPr>
          <w:rFonts w:ascii="Times New Roman" w:hAnsi="Times New Roman"/>
          <w:sz w:val="28"/>
          <w:szCs w:val="28"/>
        </w:rPr>
      </w:pPr>
    </w:p>
    <w:p w:rsidR="00180794" w:rsidRDefault="00180794" w:rsidP="000251C3">
      <w:pPr>
        <w:autoSpaceDE w:val="0"/>
        <w:autoSpaceDN w:val="0"/>
        <w:adjustRightInd w:val="0"/>
        <w:ind w:firstLine="540"/>
        <w:jc w:val="both"/>
        <w:outlineLvl w:val="1"/>
        <w:rPr>
          <w:rFonts w:ascii="Times New Roman" w:hAnsi="Times New Roman"/>
          <w:sz w:val="28"/>
          <w:szCs w:val="28"/>
        </w:rPr>
      </w:pPr>
    </w:p>
    <w:p w:rsidR="000251C3" w:rsidRPr="00180794" w:rsidRDefault="00225AC1"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lastRenderedPageBreak/>
        <w:t>14</w:t>
      </w:r>
      <w:r w:rsidR="000251C3">
        <w:rPr>
          <w:rFonts w:ascii="Times New Roman" w:hAnsi="Times New Roman"/>
          <w:sz w:val="28"/>
          <w:szCs w:val="28"/>
        </w:rPr>
        <w:t xml:space="preserve">. </w:t>
      </w:r>
      <w:bookmarkStart w:id="1" w:name="_GoBack"/>
      <w:r w:rsidR="000251C3" w:rsidRPr="00180794">
        <w:rPr>
          <w:rFonts w:ascii="Times New Roman" w:hAnsi="Times New Roman"/>
          <w:b/>
          <w:sz w:val="28"/>
          <w:szCs w:val="28"/>
        </w:rPr>
        <w:t>Ответственность за нарушение Правил</w:t>
      </w:r>
    </w:p>
    <w:p w:rsidR="000251C3" w:rsidRPr="00180794" w:rsidRDefault="000251C3" w:rsidP="000251C3">
      <w:pPr>
        <w:autoSpaceDE w:val="0"/>
        <w:autoSpaceDN w:val="0"/>
        <w:adjustRightInd w:val="0"/>
        <w:ind w:firstLine="540"/>
        <w:jc w:val="both"/>
        <w:rPr>
          <w:rFonts w:ascii="Times New Roman" w:hAnsi="Times New Roman"/>
          <w:b/>
          <w:sz w:val="28"/>
          <w:szCs w:val="28"/>
        </w:rPr>
      </w:pPr>
    </w:p>
    <w:bookmarkEnd w:id="1"/>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r w:rsidR="004334CA">
        <w:rPr>
          <w:rFonts w:ascii="Times New Roman" w:hAnsi="Times New Roman"/>
          <w:sz w:val="28"/>
          <w:szCs w:val="28"/>
        </w:rPr>
        <w:t xml:space="preserve">Новое </w:t>
      </w:r>
      <w:proofErr w:type="spellStart"/>
      <w:r w:rsidR="004334CA">
        <w:rPr>
          <w:rFonts w:ascii="Times New Roman" w:hAnsi="Times New Roman"/>
          <w:sz w:val="28"/>
          <w:szCs w:val="28"/>
        </w:rPr>
        <w:t>Мансуркино</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0794"/>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29C8"/>
    <w:rsid w:val="001E32BD"/>
    <w:rsid w:val="001E5763"/>
    <w:rsid w:val="001E5DB5"/>
    <w:rsid w:val="001E77FD"/>
    <w:rsid w:val="001F00C4"/>
    <w:rsid w:val="001F228A"/>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AC1"/>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334CA"/>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0690A"/>
    <w:rsid w:val="00511968"/>
    <w:rsid w:val="00517460"/>
    <w:rsid w:val="00520F98"/>
    <w:rsid w:val="00521C8E"/>
    <w:rsid w:val="00522B16"/>
    <w:rsid w:val="0052452F"/>
    <w:rsid w:val="00526465"/>
    <w:rsid w:val="00526C97"/>
    <w:rsid w:val="00526D20"/>
    <w:rsid w:val="005271D4"/>
    <w:rsid w:val="0052748C"/>
    <w:rsid w:val="005279DD"/>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464A"/>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D5F3D"/>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48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39396">
      <w:bodyDiv w:val="1"/>
      <w:marLeft w:val="0"/>
      <w:marRight w:val="0"/>
      <w:marTop w:val="0"/>
      <w:marBottom w:val="0"/>
      <w:divBdr>
        <w:top w:val="none" w:sz="0" w:space="0" w:color="auto"/>
        <w:left w:val="none" w:sz="0" w:space="0" w:color="auto"/>
        <w:bottom w:val="none" w:sz="0" w:space="0" w:color="auto"/>
        <w:right w:val="none" w:sz="0" w:space="0" w:color="auto"/>
      </w:divBdr>
    </w:div>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784615637">
      <w:bodyDiv w:val="1"/>
      <w:marLeft w:val="0"/>
      <w:marRight w:val="0"/>
      <w:marTop w:val="0"/>
      <w:marBottom w:val="0"/>
      <w:divBdr>
        <w:top w:val="none" w:sz="0" w:space="0" w:color="auto"/>
        <w:left w:val="none" w:sz="0" w:space="0" w:color="auto"/>
        <w:bottom w:val="none" w:sz="0" w:space="0" w:color="auto"/>
        <w:right w:val="none" w:sz="0" w:space="0" w:color="auto"/>
      </w:divBdr>
    </w:div>
    <w:div w:id="840000980">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CA8E222220D7E07966CAFD985F6BF7D62F0B02047FEC7638FA38CBD30DAR8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9C7A-02D9-4247-AD2E-87A0D4371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16420</Words>
  <Characters>93597</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16</cp:revision>
  <dcterms:created xsi:type="dcterms:W3CDTF">2017-08-02T07:16:00Z</dcterms:created>
  <dcterms:modified xsi:type="dcterms:W3CDTF">2017-08-03T04:52:00Z</dcterms:modified>
</cp:coreProperties>
</file>