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034E1F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14.03.2017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204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8368E7" w:rsidP="00D05F8B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18.5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971F4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Об оценке  эффективности реализации</w:t>
      </w:r>
    </w:p>
    <w:p w:rsidR="00550B1B" w:rsidRDefault="00FA21F9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2D5366" w:rsidRDefault="00550B1B" w:rsidP="002D5366">
      <w:pPr>
        <w:rPr>
          <w:rFonts w:cs="Times New Roman"/>
          <w:sz w:val="24"/>
        </w:rPr>
      </w:pPr>
      <w:r>
        <w:rPr>
          <w:rFonts w:cs="Times New Roman"/>
          <w:sz w:val="24"/>
        </w:rPr>
        <w:t>«</w:t>
      </w:r>
      <w:r w:rsidR="002D5366">
        <w:rPr>
          <w:rFonts w:cs="Times New Roman"/>
          <w:sz w:val="24"/>
        </w:rPr>
        <w:t>Молодёжь муниципального района</w:t>
      </w:r>
    </w:p>
    <w:p w:rsidR="002D5366" w:rsidRDefault="00550B1B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Похвистневский</w:t>
      </w:r>
      <w:r w:rsidR="002D5366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>на 2015-2019годы»</w:t>
      </w:r>
      <w:r w:rsidR="00B4620A">
        <w:rPr>
          <w:rFonts w:cs="Times New Roman"/>
          <w:sz w:val="24"/>
        </w:rPr>
        <w:t xml:space="preserve">, </w:t>
      </w:r>
    </w:p>
    <w:p w:rsidR="00550B1B" w:rsidRDefault="006C18AC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2016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1E7C20" w:rsidRPr="00D05F8B" w:rsidRDefault="001E7C20" w:rsidP="001E7C20">
      <w:pPr>
        <w:rPr>
          <w:rFonts w:cs="Times New Roman"/>
          <w:sz w:val="24"/>
        </w:rPr>
      </w:pPr>
    </w:p>
    <w:p w:rsidR="001E7C20" w:rsidRDefault="001E7C20" w:rsidP="001E7C20">
      <w:pPr>
        <w:rPr>
          <w:rFonts w:cs="Times New Roman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>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</w:t>
      </w:r>
      <w:r w:rsidR="00DC0955">
        <w:rPr>
          <w:rFonts w:cs="Times New Roman"/>
          <w:szCs w:val="28"/>
        </w:rPr>
        <w:t>оценку эффективности</w:t>
      </w:r>
      <w:r w:rsidR="00550B1B">
        <w:rPr>
          <w:rFonts w:cs="Times New Roman"/>
          <w:szCs w:val="28"/>
        </w:rPr>
        <w:t xml:space="preserve"> реализации муниципальной программы «</w:t>
      </w:r>
      <w:r w:rsidR="002D5366">
        <w:rPr>
          <w:rFonts w:cs="Times New Roman"/>
          <w:szCs w:val="28"/>
        </w:rPr>
        <w:t>Молодёжь муниципального района</w:t>
      </w:r>
      <w:r w:rsidR="00550B1B">
        <w:rPr>
          <w:rFonts w:cs="Times New Roman"/>
          <w:szCs w:val="28"/>
        </w:rPr>
        <w:t xml:space="preserve"> Похвистневский на 2015 -2019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6C18AC">
        <w:rPr>
          <w:rFonts w:cs="Times New Roman"/>
          <w:szCs w:val="28"/>
        </w:rPr>
        <w:t>6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Главы района по социальным вопросам В.А. Ятманкина.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proofErr w:type="gramStart"/>
      <w:r w:rsidR="00644784">
        <w:rPr>
          <w:rFonts w:cs="Times New Roman"/>
          <w:szCs w:val="28"/>
        </w:rPr>
        <w:t>Разместить Постановление</w:t>
      </w:r>
      <w:proofErr w:type="gramEnd"/>
      <w:r w:rsidR="00644784">
        <w:rPr>
          <w:rFonts w:cs="Times New Roman"/>
          <w:szCs w:val="28"/>
        </w:rPr>
        <w:t xml:space="preserve"> на официальном 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034E1F" w:rsidRDefault="00034E1F" w:rsidP="003203F6">
      <w:pPr>
        <w:jc w:val="both"/>
        <w:sectPr w:rsidR="00034E1F" w:rsidSect="007F6E95">
          <w:headerReference w:type="default" r:id="rId10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lastRenderedPageBreak/>
        <w:t>ОТЧЕТ</w:t>
      </w: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034E1F" w:rsidRPr="00DC1E0E" w:rsidRDefault="00034E1F" w:rsidP="00034E1F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>Молодёжь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</w:p>
    <w:p w:rsidR="00034E1F" w:rsidRPr="00DC1E0E" w:rsidRDefault="00034E1F" w:rsidP="00034E1F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2015 г. -  2019 г.</w:t>
      </w:r>
      <w:r w:rsidRPr="00DC1E0E">
        <w:rPr>
          <w:b w:val="0"/>
          <w:bCs w:val="0"/>
          <w:sz w:val="24"/>
          <w:szCs w:val="24"/>
        </w:rPr>
        <w:t>»</w:t>
      </w: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16</w:t>
      </w:r>
      <w:r w:rsidRPr="00DC1E0E">
        <w:rPr>
          <w:rFonts w:cs="Times New Roman"/>
          <w:sz w:val="24"/>
        </w:rPr>
        <w:t xml:space="preserve"> ГОД</w:t>
      </w: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034E1F" w:rsidRPr="00DC1E0E" w:rsidTr="00F8735E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034E1F" w:rsidRPr="00DC1E0E" w:rsidTr="00F8735E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34E1F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034E1F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bookmarkStart w:id="2" w:name="Par711"/>
            <w:bookmarkEnd w:id="2"/>
            <w:r w:rsidRPr="00DC1E0E">
              <w:rPr>
                <w:rFonts w:cs="Times New Roman"/>
                <w:sz w:val="24"/>
              </w:rPr>
              <w:t>Целевые  показатели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034E1F" w:rsidRPr="00DC1E0E" w:rsidTr="00F8735E">
        <w:trPr>
          <w:trHeight w:val="1725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проведенных мероприятий в сфере молодёжной политике.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100,0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34E1F" w:rsidRPr="00DC1E0E" w:rsidTr="00F8735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Количество молодёжи вовлеченной в мероприятия в сфере молодёжной политике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3240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3240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100,0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E1F" w:rsidRPr="00DC1E0E" w:rsidRDefault="00034E1F" w:rsidP="00F8735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034E1F" w:rsidRPr="00DC1E0E" w:rsidRDefault="00034E1F" w:rsidP="00034E1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4"/>
        </w:rPr>
      </w:pPr>
    </w:p>
    <w:p w:rsidR="00034E1F" w:rsidRPr="00DC1E0E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Pr="00034E1F" w:rsidRDefault="00034E1F" w:rsidP="00034E1F">
      <w:pPr>
        <w:spacing w:after="200" w:line="276" w:lineRule="auto"/>
        <w:jc w:val="right"/>
        <w:rPr>
          <w:rFonts w:cs="Times New Roman"/>
          <w:bCs w:val="0"/>
          <w:sz w:val="22"/>
          <w:szCs w:val="22"/>
        </w:rPr>
      </w:pPr>
      <w:r w:rsidRPr="00034E1F">
        <w:rPr>
          <w:rFonts w:cs="Times New Roman"/>
          <w:bCs w:val="0"/>
          <w:sz w:val="22"/>
          <w:szCs w:val="22"/>
        </w:rPr>
        <w:t>Форма 2</w:t>
      </w:r>
    </w:p>
    <w:p w:rsidR="00034E1F" w:rsidRPr="00034E1F" w:rsidRDefault="00034E1F" w:rsidP="00034E1F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ВЫПОЛНЕНИЕ МЕРОПРИЯТИЙ МУНИЦИПАЛЬНОЙ ПРОГРАММЫ</w:t>
      </w:r>
    </w:p>
    <w:p w:rsidR="00034E1F" w:rsidRPr="00034E1F" w:rsidRDefault="00034E1F" w:rsidP="00034E1F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«Молодежь муниципального района Похвистневский на 2015-2019 годы»</w:t>
      </w:r>
    </w:p>
    <w:p w:rsidR="00034E1F" w:rsidRPr="00034E1F" w:rsidRDefault="00034E1F" w:rsidP="00034E1F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за 2016 года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034E1F" w:rsidRPr="00034E1F" w:rsidTr="00F8735E">
        <w:trPr>
          <w:trHeight w:val="645"/>
        </w:trPr>
        <w:tc>
          <w:tcPr>
            <w:tcW w:w="1030" w:type="dxa"/>
            <w:vMerge w:val="restart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№</w:t>
            </w:r>
          </w:p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 xml:space="preserve">Объем расходов на выполнение мероприятия, </w:t>
            </w:r>
            <w:proofErr w:type="spellStart"/>
            <w:r w:rsidRPr="00034E1F">
              <w:rPr>
                <w:rFonts w:cs="Times New Roman"/>
                <w:bCs w:val="0"/>
              </w:rPr>
              <w:t>тыс</w:t>
            </w:r>
            <w:proofErr w:type="gramStart"/>
            <w:r w:rsidRPr="00034E1F">
              <w:rPr>
                <w:rFonts w:cs="Times New Roman"/>
                <w:bCs w:val="0"/>
              </w:rPr>
              <w:t>.р</w:t>
            </w:r>
            <w:proofErr w:type="gramEnd"/>
            <w:r w:rsidRPr="00034E1F">
              <w:rPr>
                <w:rFonts w:cs="Times New Roman"/>
                <w:bCs w:val="0"/>
              </w:rPr>
              <w:t>ублей</w:t>
            </w:r>
            <w:proofErr w:type="spellEnd"/>
          </w:p>
        </w:tc>
        <w:tc>
          <w:tcPr>
            <w:tcW w:w="2421" w:type="dxa"/>
            <w:vMerge w:val="restart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Причины отклонения от планового значения</w:t>
            </w:r>
          </w:p>
        </w:tc>
      </w:tr>
      <w:tr w:rsidR="00034E1F" w:rsidRPr="00034E1F" w:rsidTr="00F8735E">
        <w:trPr>
          <w:trHeight w:val="645"/>
        </w:trPr>
        <w:tc>
          <w:tcPr>
            <w:tcW w:w="1030" w:type="dxa"/>
            <w:vMerge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  <w:vMerge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план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факт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2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3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4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5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6</w:t>
            </w: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</w:t>
            </w:r>
          </w:p>
        </w:tc>
        <w:tc>
          <w:tcPr>
            <w:tcW w:w="4074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ВСЕГО по муниципальной программе, в том числе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14,0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14,0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100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2</w:t>
            </w:r>
          </w:p>
        </w:tc>
        <w:tc>
          <w:tcPr>
            <w:tcW w:w="4074" w:type="dxa"/>
          </w:tcPr>
          <w:p w:rsidR="00034E1F" w:rsidRPr="00034E1F" w:rsidRDefault="00034E1F" w:rsidP="00034E1F">
            <w:pPr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 xml:space="preserve">местный бюджет, в том числе: 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14,0</w:t>
            </w: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14,0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>100</w:t>
            </w: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34E1F" w:rsidRPr="00034E1F" w:rsidRDefault="00034E1F" w:rsidP="00034E1F">
            <w:pPr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34E1F" w:rsidRPr="00034E1F" w:rsidRDefault="00034E1F" w:rsidP="00034E1F">
            <w:pPr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  <w:r w:rsidRPr="00034E1F">
              <w:rPr>
                <w:rFonts w:cs="Times New Roman"/>
                <w:bCs w:val="0"/>
              </w:rPr>
              <w:t xml:space="preserve"> </w:t>
            </w:r>
            <w:r w:rsidRPr="00034E1F">
              <w:rPr>
                <w:rFonts w:cs="Times New Roman"/>
                <w:bCs w:val="0"/>
                <w:lang w:val="en-US"/>
              </w:rPr>
              <w:t>Q</w:t>
            </w:r>
            <w:r w:rsidRPr="00034E1F">
              <w:rPr>
                <w:rFonts w:cs="Times New Roman"/>
                <w:bCs w:val="0"/>
              </w:rPr>
              <w:t>1=1</w:t>
            </w:r>
          </w:p>
        </w:tc>
      </w:tr>
      <w:tr w:rsidR="00034E1F" w:rsidRPr="00034E1F" w:rsidTr="00F8735E">
        <w:tc>
          <w:tcPr>
            <w:tcW w:w="103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4074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0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  <w:tc>
          <w:tcPr>
            <w:tcW w:w="2421" w:type="dxa"/>
          </w:tcPr>
          <w:p w:rsidR="00034E1F" w:rsidRPr="00034E1F" w:rsidRDefault="00034E1F" w:rsidP="00034E1F">
            <w:pPr>
              <w:jc w:val="center"/>
              <w:rPr>
                <w:rFonts w:cs="Times New Roman"/>
                <w:bCs w:val="0"/>
              </w:rPr>
            </w:pPr>
          </w:p>
        </w:tc>
      </w:tr>
    </w:tbl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  <w:sectPr w:rsidR="00034E1F" w:rsidSect="00034E1F">
          <w:pgSz w:w="16838" w:h="11906" w:orient="landscape"/>
          <w:pgMar w:top="851" w:right="1134" w:bottom="1418" w:left="510" w:header="709" w:footer="709" w:gutter="0"/>
          <w:cols w:space="708"/>
          <w:titlePg/>
          <w:docGrid w:linePitch="381"/>
        </w:sectPr>
      </w:pPr>
    </w:p>
    <w:p w:rsidR="00034E1F" w:rsidRDefault="00034E1F" w:rsidP="00034E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034E1F" w:rsidRPr="00034E1F" w:rsidRDefault="00034E1F" w:rsidP="00034E1F">
      <w:pPr>
        <w:spacing w:after="200" w:line="276" w:lineRule="auto"/>
        <w:jc w:val="center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Оценка эффективности и результативности муниципальной программы «Молодежь муниципального района Похвистневский на 2015 -2019 г.» за 2016год</w:t>
      </w:r>
    </w:p>
    <w:p w:rsidR="00034E1F" w:rsidRPr="00034E1F" w:rsidRDefault="00034E1F" w:rsidP="00034E1F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034E1F" w:rsidRPr="00034E1F" w:rsidRDefault="00034E1F" w:rsidP="00034E1F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1. Оценка степени достижения и решения задач Программы (выполнения индикаторов) (</w:t>
      </w:r>
      <w:r w:rsidRPr="00034E1F">
        <w:rPr>
          <w:rFonts w:cs="Times New Roman"/>
          <w:bCs w:val="0"/>
          <w:szCs w:val="28"/>
          <w:lang w:val="en-US"/>
        </w:rPr>
        <w:t>Q</w:t>
      </w:r>
      <w:r w:rsidRPr="00034E1F">
        <w:rPr>
          <w:rFonts w:cs="Times New Roman"/>
          <w:bCs w:val="0"/>
          <w:szCs w:val="28"/>
        </w:rPr>
        <w:t>2-форма 1);</w:t>
      </w:r>
    </w:p>
    <w:p w:rsidR="00034E1F" w:rsidRPr="00034E1F" w:rsidRDefault="00034E1F" w:rsidP="00034E1F">
      <w:pPr>
        <w:spacing w:after="200" w:line="276" w:lineRule="auto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программы: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  <w:lang w:val="en-US"/>
        </w:rPr>
        <w:t>Q</w:t>
      </w:r>
      <w:r w:rsidRPr="00034E1F">
        <w:rPr>
          <w:rFonts w:cs="Times New Roman"/>
          <w:bCs w:val="0"/>
          <w:szCs w:val="28"/>
        </w:rPr>
        <w:t xml:space="preserve">2= </w:t>
      </w:r>
      <w:r w:rsidRPr="00034E1F">
        <w:rPr>
          <w:rFonts w:cs="Times New Roman"/>
          <w:bCs w:val="0"/>
          <w:szCs w:val="28"/>
          <w:u w:val="single"/>
        </w:rPr>
        <w:t>12/12+3240/</w:t>
      </w:r>
      <w:proofErr w:type="gramStart"/>
      <w:r w:rsidRPr="00034E1F">
        <w:rPr>
          <w:rFonts w:cs="Times New Roman"/>
          <w:bCs w:val="0"/>
          <w:szCs w:val="28"/>
          <w:u w:val="single"/>
        </w:rPr>
        <w:t>3240</w:t>
      </w:r>
      <w:r w:rsidRPr="00034E1F">
        <w:rPr>
          <w:rFonts w:cs="Times New Roman"/>
          <w:bCs w:val="0"/>
          <w:szCs w:val="28"/>
        </w:rPr>
        <w:t xml:space="preserve">  =</w:t>
      </w:r>
      <w:proofErr w:type="gramEnd"/>
      <w:r w:rsidRPr="00034E1F">
        <w:rPr>
          <w:rFonts w:cs="Times New Roman"/>
          <w:bCs w:val="0"/>
          <w:szCs w:val="28"/>
        </w:rPr>
        <w:t xml:space="preserve"> 1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                      2               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  <w:lang w:val="en-US"/>
        </w:rPr>
        <w:t>Q</w:t>
      </w:r>
      <w:r w:rsidRPr="00034E1F">
        <w:rPr>
          <w:rFonts w:cs="Times New Roman"/>
          <w:bCs w:val="0"/>
          <w:szCs w:val="28"/>
        </w:rPr>
        <w:t xml:space="preserve">2=1 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2.  Оценка </w:t>
      </w:r>
      <w:proofErr w:type="gramStart"/>
      <w:r w:rsidRPr="00034E1F">
        <w:rPr>
          <w:rFonts w:cs="Times New Roman"/>
          <w:bCs w:val="0"/>
          <w:szCs w:val="28"/>
        </w:rPr>
        <w:t>эффективности использования средств бюджета района</w:t>
      </w:r>
      <w:proofErr w:type="gramEnd"/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 (</w:t>
      </w:r>
      <w:r w:rsidRPr="00034E1F">
        <w:rPr>
          <w:rFonts w:cs="Times New Roman"/>
          <w:bCs w:val="0"/>
          <w:szCs w:val="28"/>
          <w:lang w:val="en-US"/>
        </w:rPr>
        <w:t>Q</w:t>
      </w:r>
      <w:r w:rsidRPr="00034E1F">
        <w:rPr>
          <w:rFonts w:cs="Times New Roman"/>
          <w:bCs w:val="0"/>
          <w:szCs w:val="28"/>
        </w:rPr>
        <w:t>1- форма</w:t>
      </w:r>
      <w:proofErr w:type="gramStart"/>
      <w:r w:rsidRPr="00034E1F">
        <w:rPr>
          <w:rFonts w:cs="Times New Roman"/>
          <w:bCs w:val="0"/>
          <w:szCs w:val="28"/>
        </w:rPr>
        <w:t>2</w:t>
      </w:r>
      <w:proofErr w:type="gramEnd"/>
      <w:r w:rsidRPr="00034E1F">
        <w:rPr>
          <w:rFonts w:cs="Times New Roman"/>
          <w:bCs w:val="0"/>
          <w:szCs w:val="28"/>
        </w:rPr>
        <w:t>)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  <w:lang w:val="en-US"/>
        </w:rPr>
        <w:t>Q</w:t>
      </w:r>
      <w:r w:rsidRPr="00034E1F">
        <w:rPr>
          <w:rFonts w:cs="Times New Roman"/>
          <w:bCs w:val="0"/>
          <w:szCs w:val="28"/>
        </w:rPr>
        <w:t>1=1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 xml:space="preserve">  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  <w:r w:rsidRPr="00034E1F">
        <w:rPr>
          <w:rFonts w:cs="Times New Roman"/>
          <w:bCs w:val="0"/>
          <w:szCs w:val="28"/>
        </w:rPr>
        <w:t>В соответствии с методикой оценки эффективности, программы «Молодежь муниципального района Похвистневский на 2015 -2019 г.» за 2016 год имеет высокий уровень эффективности.</w:t>
      </w: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line="240" w:lineRule="atLeast"/>
        <w:jc w:val="both"/>
        <w:rPr>
          <w:rFonts w:cs="Times New Roman"/>
          <w:bCs w:val="0"/>
          <w:szCs w:val="28"/>
        </w:rPr>
      </w:pPr>
    </w:p>
    <w:p w:rsidR="00034E1F" w:rsidRPr="00034E1F" w:rsidRDefault="00034E1F" w:rsidP="00034E1F">
      <w:pPr>
        <w:spacing w:after="200" w:line="276" w:lineRule="auto"/>
        <w:rPr>
          <w:rFonts w:ascii="Calibri" w:hAnsi="Calibri" w:cs="Times New Roman"/>
          <w:bCs w:val="0"/>
          <w:sz w:val="22"/>
          <w:szCs w:val="22"/>
        </w:rPr>
      </w:pPr>
    </w:p>
    <w:p w:rsidR="00034E1F" w:rsidRDefault="00034E1F" w:rsidP="00034E1F">
      <w:pPr>
        <w:widowControl w:val="0"/>
        <w:autoSpaceDE w:val="0"/>
        <w:autoSpaceDN w:val="0"/>
        <w:adjustRightInd w:val="0"/>
        <w:rPr>
          <w:rFonts w:cs="Times New Roman"/>
          <w:sz w:val="24"/>
        </w:rPr>
      </w:pPr>
      <w:bookmarkStart w:id="3" w:name="_GoBack"/>
      <w:bookmarkEnd w:id="3"/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034E1F"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8E7" w:rsidRDefault="008368E7">
      <w:r>
        <w:separator/>
      </w:r>
    </w:p>
  </w:endnote>
  <w:endnote w:type="continuationSeparator" w:id="0">
    <w:p w:rsidR="008368E7" w:rsidRDefault="0083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8E7" w:rsidRDefault="008368E7">
      <w:r>
        <w:separator/>
      </w:r>
    </w:p>
  </w:footnote>
  <w:footnote w:type="continuationSeparator" w:id="0">
    <w:p w:rsidR="008368E7" w:rsidRDefault="00836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B1B" w:rsidRPr="00497758" w:rsidRDefault="00CA180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550B1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034E1F">
      <w:rPr>
        <w:noProof/>
        <w:sz w:val="24"/>
      </w:rPr>
      <w:t>3</w:t>
    </w:r>
    <w:r w:rsidRPr="00497758">
      <w:rPr>
        <w:sz w:val="24"/>
      </w:rPr>
      <w:fldChar w:fldCharType="end"/>
    </w:r>
  </w:p>
  <w:p w:rsidR="00550B1B" w:rsidRPr="00497758" w:rsidRDefault="00550B1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4E1F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4BC4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C68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0559"/>
    <w:rsid w:val="002B733A"/>
    <w:rsid w:val="002C07B7"/>
    <w:rsid w:val="002C1A6C"/>
    <w:rsid w:val="002D5366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18AC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6F5EF7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6E95"/>
    <w:rsid w:val="007F75DA"/>
    <w:rsid w:val="008042E2"/>
    <w:rsid w:val="00810633"/>
    <w:rsid w:val="00811DF1"/>
    <w:rsid w:val="00821C92"/>
    <w:rsid w:val="00824015"/>
    <w:rsid w:val="00832187"/>
    <w:rsid w:val="0083649D"/>
    <w:rsid w:val="008368E7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2C3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BF7E7F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180B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0955"/>
    <w:rsid w:val="00DC5D5C"/>
    <w:rsid w:val="00DD0B5B"/>
    <w:rsid w:val="00DD18A4"/>
    <w:rsid w:val="00DD20B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094F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21F9"/>
    <w:rsid w:val="00FA65D4"/>
    <w:rsid w:val="00FB3B8A"/>
    <w:rsid w:val="00FB3E1D"/>
    <w:rsid w:val="00FC0B05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b"/>
    <w:uiPriority w:val="59"/>
    <w:rsid w:val="00034E1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59"/>
    <w:rsid w:val="0003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3A42-E209-4A5E-AC6B-86E14E07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33</vt:i4>
      </vt:variant>
    </vt:vector>
  </HeadingPairs>
  <TitlesOfParts>
    <vt:vector size="34" baseType="lpstr">
      <vt:lpstr/>
      <vt:lpstr/>
      <vt:lpstr/>
      <vt:lpstr/>
      <vt:lpstr/>
      <vt:lpstr>    Глава 1. ОБЩИЕ ПОЛОЖЕНИЯ</vt:lpstr>
      <vt:lpstr>    Глава 2. СОДЕРЖАНИЕ МУНИЦИПАЛЬНОЙ ПРОГРАММЫ</vt:lpstr>
      <vt:lpstr>    Глава 3. ЭТАПЫ ФОРМИРОВАНИЯ И УТВЕРЖДЕНИЯ</vt:lpstr>
      <vt:lpstr>    Глава 4. ФИНАНСОВОЕ ОБЕСПЕЧЕНИЕ РЕАЛИЗАЦИИ</vt:lpstr>
      <vt:lpstr>    Глава 5. РЕАЛИЗАЦИЯ, ОЦЕНКА ЭФФЕКТИВНОСТИ И</vt:lpstr>
      <vt:lpstr>    Приложение 2</vt:lpstr>
      <vt:lpstr>    Форма</vt:lpstr>
      <vt:lpstr>    Форма</vt:lpstr>
      <vt:lpstr>    </vt:lpstr>
      <vt:lpstr>    </vt:lpstr>
      <vt:lpstr>    Форма</vt:lpstr>
      <vt:lpstr>    Приложение 6</vt:lpstr>
      <vt:lpstr>        Форма 1</vt:lpstr>
      <vt:lpstr>        </vt:lpstr>
      <vt:lpstr>        Форма 2</vt:lpstr>
      <vt:lpstr>        </vt:lpstr>
      <vt:lpstr>        </vt:lpstr>
      <vt:lpstr>        Форма 3</vt:lpstr>
      <vt:lpstr>    </vt:lpstr>
      <vt:lpstr>    </vt:lpstr>
      <vt:lpstr>    Приложение  7</vt:lpstr>
      <vt:lpstr>        </vt:lpstr>
      <vt:lpstr>        Таблица 1</vt:lpstr>
      <vt:lpstr>        </vt:lpstr>
      <vt:lpstr>        </vt:lpstr>
      <vt:lpstr>        </vt:lpstr>
      <vt:lpstr>        </vt:lpstr>
      <vt:lpstr>        Таблица 2</vt:lpstr>
      <vt:lpstr>        Таблица 3</vt:lpstr>
    </vt:vector>
  </TitlesOfParts>
  <Company>Финансовое управление Администрации района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19</cp:revision>
  <cp:lastPrinted>2017-03-17T05:55:00Z</cp:lastPrinted>
  <dcterms:created xsi:type="dcterms:W3CDTF">2015-03-26T06:57:00Z</dcterms:created>
  <dcterms:modified xsi:type="dcterms:W3CDTF">2017-03-20T07:44:00Z</dcterms:modified>
</cp:coreProperties>
</file>