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/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E70595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271976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271976">
              <w:rPr>
                <w:lang w:val="ru-RU"/>
              </w:rPr>
              <w:t>25 марта</w:t>
            </w:r>
            <w:r w:rsidR="00E70595">
              <w:rPr>
                <w:lang w:val="ru-RU"/>
              </w:rPr>
              <w:t xml:space="preserve"> 2014</w:t>
            </w:r>
            <w:r>
              <w:rPr>
                <w:lang w:val="ru-RU"/>
              </w:rPr>
              <w:t>г.                                                                                         №</w:t>
            </w:r>
            <w:r w:rsidR="00045E7F">
              <w:rPr>
                <w:lang w:val="ru-RU"/>
              </w:rPr>
              <w:t xml:space="preserve"> </w:t>
            </w:r>
            <w:r w:rsidR="00271976">
              <w:rPr>
                <w:lang w:val="ru-RU"/>
              </w:rPr>
              <w:t>322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1554FC" w:rsidRDefault="001554FC" w:rsidP="009A6F4E">
      <w:pPr>
        <w:jc w:val="center"/>
        <w:rPr>
          <w:b/>
          <w:sz w:val="28"/>
          <w:szCs w:val="28"/>
          <w:lang w:val="ru-RU"/>
        </w:rPr>
      </w:pPr>
    </w:p>
    <w:p w:rsidR="009A6F4E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A4234F" w:rsidRDefault="00A4234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</w:t>
      </w:r>
      <w:r w:rsidR="00271976">
        <w:rPr>
          <w:lang w:val="ru-RU"/>
        </w:rPr>
        <w:t xml:space="preserve"> (с изм. от 16.01.2014 №308)</w:t>
      </w:r>
      <w:r>
        <w:rPr>
          <w:lang w:val="ru-RU"/>
        </w:rPr>
        <w:t xml:space="preserve"> следующие изменения:</w:t>
      </w:r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F76503">
        <w:rPr>
          <w:lang w:val="ru-RU"/>
        </w:rPr>
        <w:t>384887,4</w:t>
      </w:r>
      <w:r>
        <w:rPr>
          <w:lang w:val="ru-RU"/>
        </w:rPr>
        <w:t>» заменить суммой «</w:t>
      </w:r>
      <w:r w:rsidR="00F76503">
        <w:rPr>
          <w:lang w:val="ru-RU"/>
        </w:rPr>
        <w:t>415593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F76503">
        <w:rPr>
          <w:lang w:val="ru-RU"/>
        </w:rPr>
        <w:t>376869</w:t>
      </w:r>
      <w:r>
        <w:rPr>
          <w:lang w:val="ru-RU"/>
        </w:rPr>
        <w:t>» заменить суммой «</w:t>
      </w:r>
      <w:r w:rsidR="00F76503">
        <w:rPr>
          <w:lang w:val="ru-RU"/>
        </w:rPr>
        <w:t>408551,2</w:t>
      </w:r>
      <w:r>
        <w:rPr>
          <w:lang w:val="ru-RU"/>
        </w:rPr>
        <w:t>»;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четвертом сумму «</w:t>
      </w:r>
      <w:r w:rsidR="00F76503">
        <w:rPr>
          <w:lang w:val="ru-RU"/>
        </w:rPr>
        <w:t>8018,4</w:t>
      </w:r>
      <w:r>
        <w:rPr>
          <w:lang w:val="ru-RU"/>
        </w:rPr>
        <w:t>» заменить суммой «</w:t>
      </w:r>
      <w:r w:rsidR="00F76503">
        <w:rPr>
          <w:lang w:val="ru-RU"/>
        </w:rPr>
        <w:t>7041,8</w:t>
      </w:r>
      <w:r w:rsidR="00C61F35">
        <w:rPr>
          <w:lang w:val="ru-RU"/>
        </w:rPr>
        <w:t>»</w:t>
      </w:r>
      <w:r w:rsidR="00F76503">
        <w:rPr>
          <w:lang w:val="ru-RU"/>
        </w:rPr>
        <w:t>.</w:t>
      </w:r>
    </w:p>
    <w:p w:rsidR="00A4234F" w:rsidRDefault="00A4234F" w:rsidP="009A6F4E">
      <w:pPr>
        <w:jc w:val="both"/>
        <w:rPr>
          <w:lang w:val="ru-RU"/>
        </w:rPr>
      </w:pPr>
    </w:p>
    <w:p w:rsidR="00555FFB" w:rsidRDefault="00555FFB" w:rsidP="00555FFB">
      <w:pPr>
        <w:jc w:val="both"/>
        <w:rPr>
          <w:lang w:val="ru-RU"/>
        </w:rPr>
      </w:pPr>
      <w:r>
        <w:rPr>
          <w:lang w:val="ru-RU"/>
        </w:rPr>
        <w:t xml:space="preserve">     1.2. В пункте </w:t>
      </w:r>
      <w:r w:rsidR="006B28F1">
        <w:rPr>
          <w:lang w:val="ru-RU"/>
        </w:rPr>
        <w:t xml:space="preserve">3 </w:t>
      </w:r>
      <w:r>
        <w:rPr>
          <w:lang w:val="ru-RU"/>
        </w:rPr>
        <w:t>сумму «</w:t>
      </w:r>
      <w:r w:rsidR="006B28F1">
        <w:rPr>
          <w:lang w:val="ru-RU"/>
        </w:rPr>
        <w:t>80678,5</w:t>
      </w:r>
      <w:r>
        <w:rPr>
          <w:lang w:val="ru-RU"/>
        </w:rPr>
        <w:t>» заменить суммой «</w:t>
      </w:r>
      <w:r w:rsidR="006B28F1">
        <w:rPr>
          <w:lang w:val="ru-RU"/>
        </w:rPr>
        <w:t>81725,5</w:t>
      </w:r>
      <w:r w:rsidR="00A4234F">
        <w:rPr>
          <w:lang w:val="ru-RU"/>
        </w:rPr>
        <w:t>».</w:t>
      </w:r>
    </w:p>
    <w:p w:rsidR="00A4234F" w:rsidRDefault="00A4234F" w:rsidP="00555FFB">
      <w:pPr>
        <w:jc w:val="both"/>
        <w:rPr>
          <w:lang w:val="ru-RU"/>
        </w:rPr>
      </w:pPr>
    </w:p>
    <w:p w:rsidR="007517D4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1.3. В пункте 4 сумму «327409,4» заменить суммой «</w:t>
      </w:r>
      <w:r w:rsidR="00A4234F">
        <w:rPr>
          <w:lang w:val="ru-RU"/>
        </w:rPr>
        <w:t>358115».</w:t>
      </w:r>
    </w:p>
    <w:p w:rsidR="00A4234F" w:rsidRDefault="00A4234F" w:rsidP="00555FFB">
      <w:pPr>
        <w:jc w:val="both"/>
        <w:rPr>
          <w:lang w:val="ru-RU"/>
        </w:rPr>
      </w:pPr>
    </w:p>
    <w:p w:rsidR="00555FFB" w:rsidRDefault="00555FFB" w:rsidP="00C61F35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A4234F">
        <w:rPr>
          <w:lang w:val="ru-RU"/>
        </w:rPr>
        <w:t>4</w:t>
      </w:r>
      <w:r>
        <w:rPr>
          <w:lang w:val="ru-RU"/>
        </w:rPr>
        <w:t>. В пункте 5 сумму «</w:t>
      </w:r>
      <w:r w:rsidR="00F76503">
        <w:rPr>
          <w:lang w:val="ru-RU"/>
        </w:rPr>
        <w:t>332899,4</w:t>
      </w:r>
      <w:r>
        <w:rPr>
          <w:lang w:val="ru-RU"/>
        </w:rPr>
        <w:t>» заменить суммой «</w:t>
      </w:r>
      <w:r w:rsidR="00A4234F">
        <w:rPr>
          <w:lang w:val="ru-RU"/>
        </w:rPr>
        <w:t>363605</w:t>
      </w:r>
      <w:r>
        <w:rPr>
          <w:lang w:val="ru-RU"/>
        </w:rPr>
        <w:t>»</w:t>
      </w:r>
      <w:r w:rsidR="000B1C67">
        <w:rPr>
          <w:lang w:val="ru-RU"/>
        </w:rPr>
        <w:t>.</w:t>
      </w:r>
      <w:r>
        <w:rPr>
          <w:lang w:val="ru-RU"/>
        </w:rPr>
        <w:t xml:space="preserve"> </w:t>
      </w:r>
    </w:p>
    <w:p w:rsidR="00A4234F" w:rsidRDefault="00A4234F" w:rsidP="00C61F35">
      <w:pPr>
        <w:jc w:val="both"/>
        <w:rPr>
          <w:lang w:val="ru-RU"/>
        </w:rPr>
      </w:pPr>
    </w:p>
    <w:p w:rsidR="00A4234F" w:rsidRPr="00A4234F" w:rsidRDefault="00362C00" w:rsidP="00A4234F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A4234F">
        <w:rPr>
          <w:lang w:val="ru-RU"/>
        </w:rPr>
        <w:t>5</w:t>
      </w:r>
      <w:r>
        <w:rPr>
          <w:lang w:val="ru-RU"/>
        </w:rPr>
        <w:t xml:space="preserve">. </w:t>
      </w:r>
      <w:proofErr w:type="gramStart"/>
      <w:r w:rsidR="00A4234F">
        <w:rPr>
          <w:lang w:val="ru-RU"/>
        </w:rPr>
        <w:t>В приложении 1 п</w:t>
      </w:r>
      <w:r w:rsidR="00A4234F" w:rsidRPr="00A4234F">
        <w:rPr>
          <w:lang w:val="ru-RU"/>
        </w:rPr>
        <w:t xml:space="preserve">осле строки «Доходы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учреждений)» (код главного администратора доходов бюджета муниципального района </w:t>
      </w:r>
      <w:proofErr w:type="spellStart"/>
      <w:r w:rsidR="00A4234F" w:rsidRPr="00A4234F">
        <w:rPr>
          <w:lang w:val="ru-RU"/>
        </w:rPr>
        <w:t>Похвистневский</w:t>
      </w:r>
      <w:proofErr w:type="spellEnd"/>
      <w:r w:rsidR="00A4234F" w:rsidRPr="00A4234F">
        <w:rPr>
          <w:lang w:val="ru-RU"/>
        </w:rPr>
        <w:t xml:space="preserve"> «902», код доходов «1 11 05035 10 0000 120») дополнить строками «Прочие поступления от использования имущества, находящегося в собственности муниципальных районов (за</w:t>
      </w:r>
      <w:proofErr w:type="gramEnd"/>
      <w:r w:rsidR="00A4234F" w:rsidRPr="00A4234F">
        <w:rPr>
          <w:lang w:val="ru-RU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казенных)» (код главного администратора доходов бюджета муниципального района </w:t>
      </w:r>
      <w:proofErr w:type="spellStart"/>
      <w:r w:rsidR="00A4234F" w:rsidRPr="00A4234F">
        <w:rPr>
          <w:lang w:val="ru-RU"/>
        </w:rPr>
        <w:t>Похвистневский</w:t>
      </w:r>
      <w:proofErr w:type="spellEnd"/>
      <w:r w:rsidR="00A4234F" w:rsidRPr="00A4234F">
        <w:rPr>
          <w:lang w:val="ru-RU"/>
        </w:rPr>
        <w:t xml:space="preserve"> «902», коды доходов «1 11 09045 05 0001 120», «1 11 09045 05 0002 120», «1 11 09045 05 0003 120»).</w:t>
      </w:r>
    </w:p>
    <w:p w:rsidR="00A4234F" w:rsidRDefault="00A4234F" w:rsidP="00A4234F">
      <w:pPr>
        <w:jc w:val="center"/>
        <w:rPr>
          <w:sz w:val="28"/>
          <w:szCs w:val="28"/>
          <w:lang w:val="ru-RU"/>
        </w:rPr>
      </w:pPr>
    </w:p>
    <w:p w:rsidR="00A4234F" w:rsidRDefault="00A4234F" w:rsidP="00E31C32">
      <w:pPr>
        <w:jc w:val="right"/>
        <w:rPr>
          <w:sz w:val="20"/>
          <w:szCs w:val="20"/>
          <w:lang w:val="ru-RU"/>
        </w:rPr>
      </w:pPr>
    </w:p>
    <w:p w:rsidR="00A4234F" w:rsidRDefault="00A4234F" w:rsidP="00E31C32">
      <w:pPr>
        <w:jc w:val="right"/>
        <w:rPr>
          <w:sz w:val="20"/>
          <w:szCs w:val="20"/>
          <w:lang w:val="ru-RU"/>
        </w:rPr>
      </w:pPr>
    </w:p>
    <w:p w:rsidR="00A4234F" w:rsidRDefault="00A4234F" w:rsidP="00E31C32">
      <w:pPr>
        <w:jc w:val="right"/>
        <w:rPr>
          <w:sz w:val="20"/>
          <w:szCs w:val="20"/>
          <w:lang w:val="ru-RU"/>
        </w:rPr>
      </w:pPr>
    </w:p>
    <w:p w:rsidR="00A4234F" w:rsidRDefault="00A4234F" w:rsidP="00E31C32">
      <w:pPr>
        <w:jc w:val="right"/>
        <w:rPr>
          <w:sz w:val="20"/>
          <w:szCs w:val="20"/>
          <w:lang w:val="ru-RU"/>
        </w:rPr>
      </w:pPr>
    </w:p>
    <w:p w:rsidR="00A4234F" w:rsidRDefault="00A4234F" w:rsidP="00E31C32">
      <w:pPr>
        <w:jc w:val="right"/>
        <w:rPr>
          <w:sz w:val="20"/>
          <w:szCs w:val="20"/>
          <w:lang w:val="ru-RU"/>
        </w:rPr>
      </w:pPr>
    </w:p>
    <w:p w:rsidR="007272DA" w:rsidRDefault="007272DA" w:rsidP="00362C00">
      <w:pPr>
        <w:jc w:val="both"/>
        <w:rPr>
          <w:lang w:val="ru-RU"/>
        </w:rPr>
      </w:pP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A4234F">
        <w:rPr>
          <w:lang w:val="ru-RU"/>
        </w:rPr>
        <w:t>6</w:t>
      </w:r>
      <w:r>
        <w:rPr>
          <w:lang w:val="ru-RU"/>
        </w:rPr>
        <w:t>. Приложение 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6D1AB0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7272DA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408551,2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7272DA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290821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24573,8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45163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245DD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CE0CF6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="00500DC9">
              <w:rPr>
                <w:sz w:val="20"/>
                <w:szCs w:val="20"/>
                <w:lang w:val="ru-RU"/>
              </w:rPr>
              <w:t xml:space="preserve"> С</w:t>
            </w:r>
            <w:r>
              <w:rPr>
                <w:sz w:val="20"/>
                <w:szCs w:val="20"/>
                <w:lang w:val="ru-RU"/>
              </w:rPr>
              <w:t>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3850D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541A3B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0F71C6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E228D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5E7" w:rsidRPr="00261109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D36A7F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A58B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8A58B5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67DCC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410F29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52292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522926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2D1330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7C7C6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7C7C6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64602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Pr="00AC4DF3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AD2C6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6F" w:rsidRDefault="00AD2C6F" w:rsidP="00113FA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</w:t>
            </w:r>
            <w:r w:rsidR="00113FA9">
              <w:rPr>
                <w:sz w:val="20"/>
                <w:szCs w:val="20"/>
                <w:lang w:val="ru-RU"/>
              </w:rPr>
              <w:t>2,7</w:t>
            </w:r>
          </w:p>
        </w:tc>
      </w:tr>
      <w:tr w:rsidR="00113FA9" w:rsidRP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290,1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B4506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41A3B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0F71C6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B4506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41A3B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</w:tr>
      <w:tr w:rsidR="00113FA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Субсидии юридическим лицам (кроме </w:t>
            </w:r>
            <w:r>
              <w:rPr>
                <w:sz w:val="20"/>
                <w:szCs w:val="20"/>
                <w:lang w:val="ru-RU"/>
              </w:rPr>
              <w:lastRenderedPageBreak/>
              <w:t>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B4506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41A3B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</w:tr>
      <w:tr w:rsidR="00113FA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113FA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B4506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41A3B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113FA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113FA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B4506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41A3B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113FA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</w:tr>
      <w:tr w:rsidR="00113FA9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B4506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541A3B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113FA9" w:rsidTr="00312041">
        <w:trPr>
          <w:trHeight w:val="61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113FA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113FA9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4F7411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97FB5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97FB5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97FB5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97FB5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«Развитие сети дошкольных образовательных учреждений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2013-2017г.г.»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C86BC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C86BC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0313E4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0313E4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0313E4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51325,7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23C1E" w:rsidRDefault="00113FA9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47687,3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41310,9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A06AA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20487,9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D4CD7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D4CD7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D4CD7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D4CD7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A06AA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20487,9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650A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650A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A06AA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EC4D4C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EC4D4C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EC4D4C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650A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A06AA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A06AA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13107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13107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113FA9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62371,1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61997</w:t>
            </w:r>
          </w:p>
        </w:tc>
      </w:tr>
      <w:tr w:rsidR="00113FA9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6A4DF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113FA9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6A4DF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26588,4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AC4DF3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6A4DF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622A98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113FA9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F26E55" w:rsidRDefault="00113FA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3FA9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F26E55" w:rsidRDefault="00113FA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3FA9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B43E1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F26E55" w:rsidRDefault="00113FA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3FA9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8923C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13427E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F26E55" w:rsidRDefault="00113FA9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559D6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F646D5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F646D5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559D6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559D6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13FA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r>
              <w:rPr>
                <w:sz w:val="20"/>
                <w:szCs w:val="20"/>
                <w:lang w:val="ru-RU"/>
              </w:rPr>
              <w:lastRenderedPageBreak/>
              <w:t>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F646D5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F646D5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113FA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113FA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13FA9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3850D9" w:rsidRDefault="00113FA9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9A0BC6" w:rsidRDefault="00113FA9" w:rsidP="00F43B2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408551,2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FA9" w:rsidRPr="00E66BE9" w:rsidRDefault="00113FA9" w:rsidP="00F43B2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290821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697314" w:rsidRPr="00FF1B0E" w:rsidRDefault="00FE3BE7" w:rsidP="00697314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</w:t>
      </w:r>
      <w:r w:rsidR="00697314">
        <w:rPr>
          <w:lang w:val="ru-RU"/>
        </w:rPr>
        <w:t>1.7. Приложение 6</w:t>
      </w:r>
      <w:r w:rsidR="00697314" w:rsidRPr="00AC0F60">
        <w:rPr>
          <w:lang w:val="ru-RU"/>
        </w:rPr>
        <w:t xml:space="preserve"> </w:t>
      </w:r>
      <w:r w:rsidR="00697314">
        <w:rPr>
          <w:lang w:val="ru-RU"/>
        </w:rPr>
        <w:t>изложить в следующей редакции:</w:t>
      </w:r>
    </w:p>
    <w:p w:rsidR="003E55E7" w:rsidRDefault="003E55E7" w:rsidP="003E55E7">
      <w:pPr>
        <w:spacing w:line="360" w:lineRule="auto"/>
        <w:jc w:val="both"/>
        <w:rPr>
          <w:sz w:val="20"/>
          <w:szCs w:val="20"/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6D1AB0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47076,8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12619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</w:p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Руководство и управление в сфере 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4269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</w:t>
            </w:r>
            <w:r>
              <w:rPr>
                <w:sz w:val="20"/>
                <w:szCs w:val="20"/>
                <w:lang w:val="ru-RU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</w:tr>
      <w:tr w:rsidR="00D13A3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923C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332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A11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A11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2490,5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A11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7A11AF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4,5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921F02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CF122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3850D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6542,2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1927,3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72,7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541A3B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0F71C6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E228D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10728,8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261109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D36A7F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8A58B5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8A58B5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5228400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6350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9659F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CE13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410F29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522926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522926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FB3AF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Pr="002D1330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FB3AFA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E637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69047,1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FA" w:rsidRDefault="00E6377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66869,5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2D133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64602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2602000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7,1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AC4DF3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AC4DF3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2603000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675,2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4235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4232,7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</w:tr>
      <w:tr w:rsidR="00050EB0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11934,4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32687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290,1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1086,9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31290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B4506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41A3B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0F71C6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B4506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41A3B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B4506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41A3B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124,3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B4506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41A3B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11593,1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B4506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41A3B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130,3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B4506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541A3B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3215,6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AC4DF3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53103,7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50541,2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</w:t>
            </w:r>
            <w:r w:rsidRPr="005E7208">
              <w:rPr>
                <w:sz w:val="20"/>
                <w:szCs w:val="20"/>
                <w:lang w:val="ru-RU"/>
              </w:rPr>
              <w:lastRenderedPageBreak/>
              <w:t xml:space="preserve">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46974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44761,2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Расходы, предоставляемые с учетом выполнения показателей социально-экономического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4F7411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5780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997FB5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997FB5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997FB5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997FB5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8923C9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050EB0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29659F" w:rsidRDefault="00050EB0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29659F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29659F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AC4DF3" w:rsidRDefault="00050EB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Pr="00AC4DF3" w:rsidRDefault="00050EB0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67268,8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EB0" w:rsidRDefault="00050EB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15813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«Развитие сети дошкольных образовательных учреждений в муниципальном районе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2013-2017г.г.»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8923C9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0313E4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0313E4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0313E4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51325,7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8923C9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36634,7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14691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6C109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6C109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6C109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49028,4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41310,9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923C1E" w:rsidRDefault="004C2512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AC4DF3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41310,9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A06AA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20487,9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8923C9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8D4CD7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8D4CD7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8D4CD7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8D4CD7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A06AA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20487,9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650AE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650AE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A06AA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EC4D4C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EC4D4C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EC4D4C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650AE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A06AA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A06AA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C251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04273" w:rsidRDefault="004C251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04273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Pr="00304273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103603,9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12" w:rsidRDefault="004C251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101952,4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13107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13107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3920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62371,1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61997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6A4DFE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6A4DFE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</w:t>
            </w:r>
          </w:p>
        </w:tc>
      </w:tr>
      <w:tr w:rsidR="00AF2A72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AF2A72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26588,4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17871</w:t>
            </w:r>
          </w:p>
        </w:tc>
      </w:tr>
      <w:tr w:rsidR="00AF2A7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AC4DF3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6A4DFE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1270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206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622A98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 xml:space="preserve">предусмотренных Гражданским </w:t>
            </w:r>
            <w:r w:rsidRPr="00622A98">
              <w:rPr>
                <w:sz w:val="20"/>
                <w:szCs w:val="20"/>
                <w:lang w:val="ru-RU"/>
              </w:rPr>
              <w:lastRenderedPageBreak/>
              <w:t>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8164,2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1213,8</w:t>
            </w:r>
          </w:p>
        </w:tc>
      </w:tr>
      <w:tr w:rsidR="00AF2A72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69</w:t>
            </w: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26E55" w:rsidRDefault="00AF2A72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26E55" w:rsidRDefault="00AF2A72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26E55" w:rsidRDefault="00AF2A72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26E55" w:rsidRDefault="00AF2A72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8923C9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13427E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26E55" w:rsidRDefault="00AF2A72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26E55" w:rsidRDefault="00AF2A72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9559D6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646D5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646D5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14325,4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9559D6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9559D6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646D5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F646D5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2A72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72" w:rsidRPr="003850D9" w:rsidRDefault="00AF2A72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51FB6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6" w:rsidRPr="003850D9" w:rsidRDefault="00251FB6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6" w:rsidRPr="003850D9" w:rsidRDefault="00251FB6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6" w:rsidRPr="003850D9" w:rsidRDefault="00251FB6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6" w:rsidRPr="003850D9" w:rsidRDefault="00251FB6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6" w:rsidRPr="003850D9" w:rsidRDefault="00251FB6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6" w:rsidRPr="009A0BC6" w:rsidRDefault="00251FB6" w:rsidP="00F43B2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408551,2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B6" w:rsidRPr="00E66BE9" w:rsidRDefault="00251FB6" w:rsidP="00F43B26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290821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926106" w:rsidRDefault="00926106" w:rsidP="00D13A31">
      <w:pPr>
        <w:jc w:val="center"/>
        <w:rPr>
          <w:lang w:val="ru-RU"/>
        </w:rPr>
      </w:pPr>
    </w:p>
    <w:p w:rsidR="0024692E" w:rsidRPr="00FF1B0E" w:rsidRDefault="0024692E" w:rsidP="0024692E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1.</w:t>
      </w:r>
      <w:r w:rsidR="00A4234F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center"/>
        <w:rPr>
          <w:lang w:val="ru-RU"/>
        </w:rPr>
      </w:pP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Pr="00C12483" w:rsidRDefault="00D13A31" w:rsidP="00D13A31">
      <w:pPr>
        <w:pStyle w:val="1"/>
        <w:jc w:val="center"/>
        <w:rPr>
          <w:b w:val="0"/>
          <w:sz w:val="20"/>
          <w:szCs w:val="20"/>
        </w:rPr>
      </w:pPr>
      <w:r w:rsidRPr="00C12483">
        <w:rPr>
          <w:b w:val="0"/>
          <w:bCs w:val="0"/>
          <w:sz w:val="20"/>
          <w:szCs w:val="2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на 2014</w:t>
      </w:r>
      <w:r w:rsidRPr="00C12483">
        <w:rPr>
          <w:sz w:val="20"/>
          <w:szCs w:val="20"/>
          <w:lang w:val="ru-RU"/>
        </w:rPr>
        <w:t xml:space="preserve"> год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905FE2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1908,2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A5373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-415593</w:t>
            </w:r>
          </w:p>
        </w:tc>
      </w:tr>
      <w:tr w:rsidR="00A53734" w:rsidRPr="00C12483" w:rsidTr="002F024A">
        <w:tc>
          <w:tcPr>
            <w:tcW w:w="828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A53734" w:rsidRDefault="00A53734" w:rsidP="00A53734">
            <w:pPr>
              <w:jc w:val="center"/>
            </w:pPr>
            <w:r w:rsidRPr="00156316">
              <w:rPr>
                <w:sz w:val="20"/>
                <w:szCs w:val="20"/>
                <w:lang w:val="ru-RU"/>
              </w:rPr>
              <w:t>-415593</w:t>
            </w:r>
          </w:p>
        </w:tc>
      </w:tr>
      <w:tr w:rsidR="00A53734" w:rsidRPr="00C12483" w:rsidTr="002F024A">
        <w:tc>
          <w:tcPr>
            <w:tcW w:w="828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A53734" w:rsidRDefault="00A53734" w:rsidP="00A53734">
            <w:pPr>
              <w:jc w:val="center"/>
            </w:pPr>
            <w:r w:rsidRPr="00156316">
              <w:rPr>
                <w:sz w:val="20"/>
                <w:szCs w:val="20"/>
                <w:lang w:val="ru-RU"/>
              </w:rPr>
              <w:t>-415593</w:t>
            </w:r>
          </w:p>
        </w:tc>
      </w:tr>
      <w:tr w:rsidR="00A53734" w:rsidRPr="00C12483" w:rsidTr="002F024A">
        <w:tc>
          <w:tcPr>
            <w:tcW w:w="828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A53734" w:rsidRDefault="00A53734" w:rsidP="00A53734">
            <w:pPr>
              <w:jc w:val="center"/>
            </w:pPr>
            <w:r w:rsidRPr="00156316">
              <w:rPr>
                <w:sz w:val="20"/>
                <w:szCs w:val="20"/>
                <w:lang w:val="ru-RU"/>
              </w:rPr>
              <w:t>-415593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A5373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417501,2</w:t>
            </w:r>
          </w:p>
        </w:tc>
      </w:tr>
      <w:tr w:rsidR="0024692E" w:rsidRPr="00C12483" w:rsidTr="002F024A">
        <w:tc>
          <w:tcPr>
            <w:tcW w:w="828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24692E" w:rsidRPr="00EA766F" w:rsidRDefault="0024692E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24692E" w:rsidRPr="00C47475" w:rsidRDefault="00C47475" w:rsidP="0024692E">
            <w:pPr>
              <w:jc w:val="center"/>
              <w:rPr>
                <w:sz w:val="20"/>
                <w:szCs w:val="20"/>
                <w:lang w:val="ru-RU"/>
              </w:rPr>
            </w:pPr>
            <w:r w:rsidRPr="00C47475">
              <w:rPr>
                <w:sz w:val="20"/>
                <w:szCs w:val="20"/>
                <w:lang w:val="ru-RU"/>
              </w:rPr>
              <w:t>417501,2</w:t>
            </w:r>
          </w:p>
        </w:tc>
      </w:tr>
      <w:tr w:rsidR="00A53734" w:rsidRPr="00C12483" w:rsidTr="002F024A">
        <w:tc>
          <w:tcPr>
            <w:tcW w:w="828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A53734" w:rsidRPr="00EA766F" w:rsidRDefault="00A53734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A53734" w:rsidRDefault="00A53734" w:rsidP="00A53734">
            <w:pPr>
              <w:jc w:val="center"/>
            </w:pPr>
            <w:r w:rsidRPr="00AE3C5B">
              <w:rPr>
                <w:sz w:val="20"/>
                <w:szCs w:val="20"/>
                <w:lang w:val="ru-RU"/>
              </w:rPr>
              <w:t>417501,2</w:t>
            </w:r>
          </w:p>
        </w:tc>
      </w:tr>
      <w:tr w:rsidR="00A53734" w:rsidRPr="00C12483" w:rsidTr="002F024A">
        <w:tc>
          <w:tcPr>
            <w:tcW w:w="828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A53734" w:rsidRPr="00EA766F" w:rsidRDefault="00A53734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A53734" w:rsidRPr="00EA766F" w:rsidRDefault="00A53734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A53734" w:rsidRDefault="00A53734" w:rsidP="00A53734">
            <w:pPr>
              <w:jc w:val="center"/>
            </w:pPr>
            <w:r w:rsidRPr="00AE3C5B">
              <w:rPr>
                <w:sz w:val="20"/>
                <w:szCs w:val="20"/>
                <w:lang w:val="ru-RU"/>
              </w:rPr>
              <w:t>417501,2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181D55" w:rsidRDefault="00A53734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7041,8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662224" w:rsidRDefault="00662224" w:rsidP="00662224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</w:p>
    <w:p w:rsidR="008F2E03" w:rsidRDefault="008F2E03" w:rsidP="008F2E03">
      <w:pPr>
        <w:ind w:left="720"/>
        <w:rPr>
          <w:lang w:val="ru-RU"/>
        </w:rPr>
      </w:pPr>
    </w:p>
    <w:p w:rsidR="008F2E03" w:rsidRDefault="008F2E03" w:rsidP="008F2E03">
      <w:pPr>
        <w:ind w:left="720"/>
        <w:rPr>
          <w:lang w:val="ru-RU"/>
        </w:rPr>
      </w:pPr>
    </w:p>
    <w:p w:rsidR="00D13A31" w:rsidRDefault="00D13A31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022748" w:rsidRDefault="00022748" w:rsidP="00D13A31">
      <w:pPr>
        <w:spacing w:line="360" w:lineRule="auto"/>
        <w:jc w:val="both"/>
        <w:rPr>
          <w:sz w:val="20"/>
          <w:szCs w:val="20"/>
          <w:lang w:val="ru-RU"/>
        </w:rPr>
      </w:pPr>
    </w:p>
    <w:p w:rsidR="00B23EF0" w:rsidRDefault="00B23EF0" w:rsidP="00D13A31">
      <w:pPr>
        <w:spacing w:line="360" w:lineRule="auto"/>
        <w:jc w:val="both"/>
        <w:rPr>
          <w:sz w:val="20"/>
          <w:szCs w:val="20"/>
          <w:lang w:val="ru-RU"/>
        </w:rPr>
      </w:pPr>
      <w:bookmarkStart w:id="0" w:name="_GoBack"/>
      <w:bookmarkEnd w:id="0"/>
    </w:p>
    <w:sectPr w:rsidR="00B23EF0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ECA"/>
    <w:rsid w:val="0000439B"/>
    <w:rsid w:val="0000516A"/>
    <w:rsid w:val="00017441"/>
    <w:rsid w:val="00022748"/>
    <w:rsid w:val="00030433"/>
    <w:rsid w:val="00037684"/>
    <w:rsid w:val="00042D22"/>
    <w:rsid w:val="0004301B"/>
    <w:rsid w:val="00043DF4"/>
    <w:rsid w:val="000441AF"/>
    <w:rsid w:val="00045E7F"/>
    <w:rsid w:val="00046C54"/>
    <w:rsid w:val="00050EB0"/>
    <w:rsid w:val="00051B46"/>
    <w:rsid w:val="00052B1B"/>
    <w:rsid w:val="00054594"/>
    <w:rsid w:val="00054CE1"/>
    <w:rsid w:val="000574DB"/>
    <w:rsid w:val="0005786E"/>
    <w:rsid w:val="00061277"/>
    <w:rsid w:val="00067126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1C67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1412"/>
    <w:rsid w:val="001045A2"/>
    <w:rsid w:val="00105AB7"/>
    <w:rsid w:val="00105F39"/>
    <w:rsid w:val="001062F2"/>
    <w:rsid w:val="00113FA9"/>
    <w:rsid w:val="001163E6"/>
    <w:rsid w:val="00116587"/>
    <w:rsid w:val="00123B7C"/>
    <w:rsid w:val="001245DD"/>
    <w:rsid w:val="00126124"/>
    <w:rsid w:val="00126F0B"/>
    <w:rsid w:val="00131F6A"/>
    <w:rsid w:val="00133931"/>
    <w:rsid w:val="0013462C"/>
    <w:rsid w:val="001429A7"/>
    <w:rsid w:val="00142C17"/>
    <w:rsid w:val="00144956"/>
    <w:rsid w:val="00144B5C"/>
    <w:rsid w:val="00145E4E"/>
    <w:rsid w:val="00145F9C"/>
    <w:rsid w:val="0014774D"/>
    <w:rsid w:val="001554FC"/>
    <w:rsid w:val="00156904"/>
    <w:rsid w:val="00164607"/>
    <w:rsid w:val="00165420"/>
    <w:rsid w:val="00166E14"/>
    <w:rsid w:val="00167DCC"/>
    <w:rsid w:val="0017213A"/>
    <w:rsid w:val="00173E77"/>
    <w:rsid w:val="00175CB1"/>
    <w:rsid w:val="001802AE"/>
    <w:rsid w:val="00180EC9"/>
    <w:rsid w:val="00181273"/>
    <w:rsid w:val="0018256E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3E9A"/>
    <w:rsid w:val="001F4C4D"/>
    <w:rsid w:val="001F5F0C"/>
    <w:rsid w:val="001F6E6B"/>
    <w:rsid w:val="0020555C"/>
    <w:rsid w:val="00211504"/>
    <w:rsid w:val="00213B17"/>
    <w:rsid w:val="00213D7E"/>
    <w:rsid w:val="00232CA7"/>
    <w:rsid w:val="002335C4"/>
    <w:rsid w:val="00236B2B"/>
    <w:rsid w:val="0024692E"/>
    <w:rsid w:val="00246E73"/>
    <w:rsid w:val="00247EE8"/>
    <w:rsid w:val="00251FB6"/>
    <w:rsid w:val="0026149D"/>
    <w:rsid w:val="00261508"/>
    <w:rsid w:val="00261744"/>
    <w:rsid w:val="0026553A"/>
    <w:rsid w:val="0026734B"/>
    <w:rsid w:val="00270D20"/>
    <w:rsid w:val="002716C2"/>
    <w:rsid w:val="00271976"/>
    <w:rsid w:val="00271993"/>
    <w:rsid w:val="0028239C"/>
    <w:rsid w:val="002828C0"/>
    <w:rsid w:val="002847C4"/>
    <w:rsid w:val="0029135D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21AE"/>
    <w:rsid w:val="002E4A08"/>
    <w:rsid w:val="002F024A"/>
    <w:rsid w:val="002F33C9"/>
    <w:rsid w:val="0030331F"/>
    <w:rsid w:val="00311ABB"/>
    <w:rsid w:val="00312041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2C00"/>
    <w:rsid w:val="00363AB8"/>
    <w:rsid w:val="003666B0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97D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55E7"/>
    <w:rsid w:val="003E64AF"/>
    <w:rsid w:val="003E690D"/>
    <w:rsid w:val="003F1813"/>
    <w:rsid w:val="003F3F79"/>
    <w:rsid w:val="003F597D"/>
    <w:rsid w:val="003F5E24"/>
    <w:rsid w:val="003F7E17"/>
    <w:rsid w:val="00402FA5"/>
    <w:rsid w:val="00412A5A"/>
    <w:rsid w:val="0041300C"/>
    <w:rsid w:val="00417A4B"/>
    <w:rsid w:val="00424BD4"/>
    <w:rsid w:val="00424D07"/>
    <w:rsid w:val="00426F61"/>
    <w:rsid w:val="00430A80"/>
    <w:rsid w:val="00431081"/>
    <w:rsid w:val="00437CB1"/>
    <w:rsid w:val="00441307"/>
    <w:rsid w:val="00442265"/>
    <w:rsid w:val="004427D9"/>
    <w:rsid w:val="00447199"/>
    <w:rsid w:val="00447564"/>
    <w:rsid w:val="00451632"/>
    <w:rsid w:val="004537E3"/>
    <w:rsid w:val="004562E3"/>
    <w:rsid w:val="00462FD9"/>
    <w:rsid w:val="00465892"/>
    <w:rsid w:val="00470AA5"/>
    <w:rsid w:val="00470E8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C2512"/>
    <w:rsid w:val="004D1BF3"/>
    <w:rsid w:val="004D2385"/>
    <w:rsid w:val="004D2BF6"/>
    <w:rsid w:val="004D51E4"/>
    <w:rsid w:val="004D5F37"/>
    <w:rsid w:val="004E1E33"/>
    <w:rsid w:val="004E47FD"/>
    <w:rsid w:val="004E6590"/>
    <w:rsid w:val="004E76A9"/>
    <w:rsid w:val="004F51E1"/>
    <w:rsid w:val="004F54D5"/>
    <w:rsid w:val="004F58AA"/>
    <w:rsid w:val="00500DC9"/>
    <w:rsid w:val="0050580A"/>
    <w:rsid w:val="00506ABB"/>
    <w:rsid w:val="00511E28"/>
    <w:rsid w:val="0051237B"/>
    <w:rsid w:val="00517AB1"/>
    <w:rsid w:val="005211BE"/>
    <w:rsid w:val="005240B8"/>
    <w:rsid w:val="00532E2B"/>
    <w:rsid w:val="00534195"/>
    <w:rsid w:val="0054406E"/>
    <w:rsid w:val="00544246"/>
    <w:rsid w:val="00545312"/>
    <w:rsid w:val="005516B2"/>
    <w:rsid w:val="00555FFB"/>
    <w:rsid w:val="0056301E"/>
    <w:rsid w:val="00564EF1"/>
    <w:rsid w:val="00572F04"/>
    <w:rsid w:val="00577B7D"/>
    <w:rsid w:val="00583737"/>
    <w:rsid w:val="00585149"/>
    <w:rsid w:val="00586693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1EC5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224"/>
    <w:rsid w:val="00662B62"/>
    <w:rsid w:val="0066617F"/>
    <w:rsid w:val="00666716"/>
    <w:rsid w:val="00670700"/>
    <w:rsid w:val="0067084E"/>
    <w:rsid w:val="00674781"/>
    <w:rsid w:val="00680F0C"/>
    <w:rsid w:val="00684B74"/>
    <w:rsid w:val="006851DA"/>
    <w:rsid w:val="0068798A"/>
    <w:rsid w:val="00693578"/>
    <w:rsid w:val="00693F3D"/>
    <w:rsid w:val="00694FEC"/>
    <w:rsid w:val="006972C6"/>
    <w:rsid w:val="00697314"/>
    <w:rsid w:val="006A0813"/>
    <w:rsid w:val="006A3698"/>
    <w:rsid w:val="006B0742"/>
    <w:rsid w:val="006B07F2"/>
    <w:rsid w:val="006B28F1"/>
    <w:rsid w:val="006B58DB"/>
    <w:rsid w:val="006B5EFD"/>
    <w:rsid w:val="006B72ED"/>
    <w:rsid w:val="006C34AD"/>
    <w:rsid w:val="006C3DB8"/>
    <w:rsid w:val="006C5AB6"/>
    <w:rsid w:val="006C6408"/>
    <w:rsid w:val="006C740B"/>
    <w:rsid w:val="006D1AB0"/>
    <w:rsid w:val="006D1E3B"/>
    <w:rsid w:val="006D2653"/>
    <w:rsid w:val="006D2B4D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2DA"/>
    <w:rsid w:val="00727601"/>
    <w:rsid w:val="00730A50"/>
    <w:rsid w:val="007323BB"/>
    <w:rsid w:val="007353B3"/>
    <w:rsid w:val="007429DA"/>
    <w:rsid w:val="007453E3"/>
    <w:rsid w:val="007501E0"/>
    <w:rsid w:val="007507C5"/>
    <w:rsid w:val="007517D4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94348"/>
    <w:rsid w:val="007A11AF"/>
    <w:rsid w:val="007A150C"/>
    <w:rsid w:val="007A3FE0"/>
    <w:rsid w:val="007A42FF"/>
    <w:rsid w:val="007C5B1A"/>
    <w:rsid w:val="007C72D3"/>
    <w:rsid w:val="007C7C62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2931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1788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33C1"/>
    <w:rsid w:val="008D5571"/>
    <w:rsid w:val="008E0506"/>
    <w:rsid w:val="008E3F2D"/>
    <w:rsid w:val="008E3FC7"/>
    <w:rsid w:val="008E469B"/>
    <w:rsid w:val="008E5173"/>
    <w:rsid w:val="008E5A0F"/>
    <w:rsid w:val="008E78D0"/>
    <w:rsid w:val="008F287B"/>
    <w:rsid w:val="008F2E03"/>
    <w:rsid w:val="008F6E57"/>
    <w:rsid w:val="0090186C"/>
    <w:rsid w:val="009030AC"/>
    <w:rsid w:val="009059C2"/>
    <w:rsid w:val="00905FE2"/>
    <w:rsid w:val="00911B3A"/>
    <w:rsid w:val="00911C97"/>
    <w:rsid w:val="00912130"/>
    <w:rsid w:val="009137ED"/>
    <w:rsid w:val="00916633"/>
    <w:rsid w:val="009248A6"/>
    <w:rsid w:val="00925C64"/>
    <w:rsid w:val="00926106"/>
    <w:rsid w:val="00931346"/>
    <w:rsid w:val="00932C2E"/>
    <w:rsid w:val="009335DD"/>
    <w:rsid w:val="00934CB4"/>
    <w:rsid w:val="009351DE"/>
    <w:rsid w:val="00935541"/>
    <w:rsid w:val="00943B22"/>
    <w:rsid w:val="00944C44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97069"/>
    <w:rsid w:val="009A1D2F"/>
    <w:rsid w:val="009A2FB0"/>
    <w:rsid w:val="009A3577"/>
    <w:rsid w:val="009A6F4E"/>
    <w:rsid w:val="009B1C2D"/>
    <w:rsid w:val="009B2D01"/>
    <w:rsid w:val="009B523F"/>
    <w:rsid w:val="009B6A84"/>
    <w:rsid w:val="009C1A55"/>
    <w:rsid w:val="009C2132"/>
    <w:rsid w:val="009C2347"/>
    <w:rsid w:val="009C2DEA"/>
    <w:rsid w:val="009C5439"/>
    <w:rsid w:val="009D4599"/>
    <w:rsid w:val="009D5192"/>
    <w:rsid w:val="009D7960"/>
    <w:rsid w:val="009E412F"/>
    <w:rsid w:val="009E4300"/>
    <w:rsid w:val="009E5367"/>
    <w:rsid w:val="009E7C7A"/>
    <w:rsid w:val="009F18D2"/>
    <w:rsid w:val="009F7C0F"/>
    <w:rsid w:val="009F7C13"/>
    <w:rsid w:val="00A1275C"/>
    <w:rsid w:val="00A1665D"/>
    <w:rsid w:val="00A22ADD"/>
    <w:rsid w:val="00A23AED"/>
    <w:rsid w:val="00A26608"/>
    <w:rsid w:val="00A3235B"/>
    <w:rsid w:val="00A34371"/>
    <w:rsid w:val="00A352A8"/>
    <w:rsid w:val="00A36735"/>
    <w:rsid w:val="00A4234F"/>
    <w:rsid w:val="00A450AA"/>
    <w:rsid w:val="00A51F8B"/>
    <w:rsid w:val="00A53734"/>
    <w:rsid w:val="00A55108"/>
    <w:rsid w:val="00A56D6E"/>
    <w:rsid w:val="00A60806"/>
    <w:rsid w:val="00A71F95"/>
    <w:rsid w:val="00A748F4"/>
    <w:rsid w:val="00A81984"/>
    <w:rsid w:val="00A91931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4A2C"/>
    <w:rsid w:val="00AB6A96"/>
    <w:rsid w:val="00AB7827"/>
    <w:rsid w:val="00AC6D97"/>
    <w:rsid w:val="00AD0C1E"/>
    <w:rsid w:val="00AD2C6F"/>
    <w:rsid w:val="00AD52A9"/>
    <w:rsid w:val="00AE123E"/>
    <w:rsid w:val="00AE5E36"/>
    <w:rsid w:val="00AF08AC"/>
    <w:rsid w:val="00AF26D0"/>
    <w:rsid w:val="00AF2A72"/>
    <w:rsid w:val="00AF3152"/>
    <w:rsid w:val="00AF3A6C"/>
    <w:rsid w:val="00AF75E7"/>
    <w:rsid w:val="00B00035"/>
    <w:rsid w:val="00B05E59"/>
    <w:rsid w:val="00B10C96"/>
    <w:rsid w:val="00B139A6"/>
    <w:rsid w:val="00B13F0C"/>
    <w:rsid w:val="00B23A48"/>
    <w:rsid w:val="00B23EF0"/>
    <w:rsid w:val="00B269A8"/>
    <w:rsid w:val="00B35189"/>
    <w:rsid w:val="00B36049"/>
    <w:rsid w:val="00B43E16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07F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00B9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47475"/>
    <w:rsid w:val="00C55123"/>
    <w:rsid w:val="00C611F9"/>
    <w:rsid w:val="00C61D73"/>
    <w:rsid w:val="00C61EA8"/>
    <w:rsid w:val="00C61F35"/>
    <w:rsid w:val="00C6486E"/>
    <w:rsid w:val="00C73FBC"/>
    <w:rsid w:val="00C8017A"/>
    <w:rsid w:val="00C81FAC"/>
    <w:rsid w:val="00C82852"/>
    <w:rsid w:val="00C83DD8"/>
    <w:rsid w:val="00C86BC8"/>
    <w:rsid w:val="00C86DB9"/>
    <w:rsid w:val="00C9043B"/>
    <w:rsid w:val="00C91876"/>
    <w:rsid w:val="00CA3FBC"/>
    <w:rsid w:val="00CA6A4E"/>
    <w:rsid w:val="00CB1D0B"/>
    <w:rsid w:val="00CB3D2A"/>
    <w:rsid w:val="00CC1387"/>
    <w:rsid w:val="00CC1966"/>
    <w:rsid w:val="00CC3765"/>
    <w:rsid w:val="00CC5575"/>
    <w:rsid w:val="00CE0CF6"/>
    <w:rsid w:val="00CE13E7"/>
    <w:rsid w:val="00CF1225"/>
    <w:rsid w:val="00CF1FEF"/>
    <w:rsid w:val="00CF2B68"/>
    <w:rsid w:val="00CF6323"/>
    <w:rsid w:val="00D0697C"/>
    <w:rsid w:val="00D126CA"/>
    <w:rsid w:val="00D13A31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48FA"/>
    <w:rsid w:val="00D61A7F"/>
    <w:rsid w:val="00D64470"/>
    <w:rsid w:val="00D702C8"/>
    <w:rsid w:val="00D72D32"/>
    <w:rsid w:val="00D809D8"/>
    <w:rsid w:val="00D85504"/>
    <w:rsid w:val="00D9054D"/>
    <w:rsid w:val="00DA1892"/>
    <w:rsid w:val="00DA3081"/>
    <w:rsid w:val="00DA6E74"/>
    <w:rsid w:val="00DB2736"/>
    <w:rsid w:val="00DB46EC"/>
    <w:rsid w:val="00DB5381"/>
    <w:rsid w:val="00DB7C78"/>
    <w:rsid w:val="00DC453F"/>
    <w:rsid w:val="00DC5D5C"/>
    <w:rsid w:val="00DD0B5B"/>
    <w:rsid w:val="00DD18A4"/>
    <w:rsid w:val="00DD2193"/>
    <w:rsid w:val="00DD555E"/>
    <w:rsid w:val="00DD585D"/>
    <w:rsid w:val="00DD7A00"/>
    <w:rsid w:val="00DE11CE"/>
    <w:rsid w:val="00DE299B"/>
    <w:rsid w:val="00DE7089"/>
    <w:rsid w:val="00DE7DE3"/>
    <w:rsid w:val="00DF127D"/>
    <w:rsid w:val="00DF2AF4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1C32"/>
    <w:rsid w:val="00E33143"/>
    <w:rsid w:val="00E334C0"/>
    <w:rsid w:val="00E350C1"/>
    <w:rsid w:val="00E4239A"/>
    <w:rsid w:val="00E468AF"/>
    <w:rsid w:val="00E50C82"/>
    <w:rsid w:val="00E520D5"/>
    <w:rsid w:val="00E540CE"/>
    <w:rsid w:val="00E56967"/>
    <w:rsid w:val="00E6377B"/>
    <w:rsid w:val="00E63B7F"/>
    <w:rsid w:val="00E63BF6"/>
    <w:rsid w:val="00E64CC5"/>
    <w:rsid w:val="00E70595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A35"/>
    <w:rsid w:val="00EA1CDB"/>
    <w:rsid w:val="00EA264C"/>
    <w:rsid w:val="00EA73CE"/>
    <w:rsid w:val="00EB1CA1"/>
    <w:rsid w:val="00EB2138"/>
    <w:rsid w:val="00EB2168"/>
    <w:rsid w:val="00EC136B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3B26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097"/>
    <w:rsid w:val="00F71C9C"/>
    <w:rsid w:val="00F76503"/>
    <w:rsid w:val="00F87916"/>
    <w:rsid w:val="00FA65D4"/>
    <w:rsid w:val="00FB0C8D"/>
    <w:rsid w:val="00FB3AFA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3BE7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1A4EB-6AD9-48C3-8DB5-A49186A97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15</Pages>
  <Words>6372</Words>
  <Characters>36322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140</cp:revision>
  <cp:lastPrinted>2014-03-14T09:00:00Z</cp:lastPrinted>
  <dcterms:created xsi:type="dcterms:W3CDTF">2014-01-10T05:43:00Z</dcterms:created>
  <dcterms:modified xsi:type="dcterms:W3CDTF">2014-07-16T05:13:00Z</dcterms:modified>
</cp:coreProperties>
</file>